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F108D" w14:textId="77777777" w:rsidR="00544B7A" w:rsidRDefault="00FA3A2B">
      <w:pPr>
        <w:jc w:val="right"/>
        <w:rPr>
          <w:rFonts w:ascii="Roboto" w:eastAsia="Roboto" w:hAnsi="Roboto" w:cs="Roboto"/>
          <w:b/>
          <w:color w:val="149494"/>
        </w:rPr>
      </w:pPr>
      <w:r>
        <w:rPr>
          <w:rFonts w:ascii="Roboto" w:eastAsia="Roboto" w:hAnsi="Roboto" w:cs="Roboto"/>
          <w:b/>
          <w:color w:val="149494"/>
        </w:rPr>
        <w:tab/>
      </w:r>
      <w:r>
        <w:rPr>
          <w:rFonts w:ascii="Roboto" w:eastAsia="Roboto" w:hAnsi="Roboto" w:cs="Roboto"/>
          <w:b/>
          <w:color w:val="149494"/>
        </w:rPr>
        <w:tab/>
      </w:r>
      <w:r>
        <w:rPr>
          <w:rFonts w:ascii="Roboto" w:eastAsia="Roboto" w:hAnsi="Roboto" w:cs="Roboto"/>
          <w:b/>
          <w:color w:val="149494"/>
        </w:rPr>
        <w:tab/>
      </w:r>
      <w:r>
        <w:rPr>
          <w:rFonts w:ascii="Roboto" w:eastAsia="Roboto" w:hAnsi="Roboto" w:cs="Roboto"/>
          <w:b/>
          <w:color w:val="149494"/>
        </w:rPr>
        <w:tab/>
      </w:r>
      <w:r>
        <w:rPr>
          <w:rFonts w:ascii="Roboto" w:eastAsia="Roboto" w:hAnsi="Roboto" w:cs="Roboto"/>
          <w:b/>
          <w:color w:val="149494"/>
        </w:rPr>
        <w:tab/>
      </w:r>
    </w:p>
    <w:p w14:paraId="14CC75FC" w14:textId="77777777" w:rsidR="00544B7A" w:rsidRDefault="00544B7A">
      <w:pPr>
        <w:jc w:val="right"/>
        <w:rPr>
          <w:rFonts w:ascii="Roboto" w:eastAsia="Roboto" w:hAnsi="Roboto" w:cs="Roboto"/>
          <w:b/>
          <w:color w:val="149494"/>
        </w:rPr>
      </w:pPr>
    </w:p>
    <w:p w14:paraId="15E16128" w14:textId="77777777" w:rsidR="00544B7A" w:rsidRDefault="00544B7A">
      <w:pPr>
        <w:jc w:val="right"/>
        <w:rPr>
          <w:rFonts w:ascii="Roboto" w:eastAsia="Roboto" w:hAnsi="Roboto" w:cs="Roboto"/>
          <w:b/>
          <w:color w:val="149494"/>
        </w:rPr>
      </w:pPr>
    </w:p>
    <w:p w14:paraId="38A0DFEE" w14:textId="77777777" w:rsidR="00544B7A" w:rsidRDefault="00544B7A">
      <w:pPr>
        <w:jc w:val="right"/>
        <w:rPr>
          <w:rFonts w:ascii="Roboto" w:eastAsia="Roboto" w:hAnsi="Roboto" w:cs="Roboto"/>
          <w:b/>
          <w:color w:val="149494"/>
        </w:rPr>
      </w:pPr>
    </w:p>
    <w:p w14:paraId="293AA66E" w14:textId="77777777" w:rsidR="00544B7A" w:rsidRDefault="00544B7A">
      <w:pPr>
        <w:jc w:val="right"/>
        <w:rPr>
          <w:rFonts w:ascii="Roboto" w:eastAsia="Roboto" w:hAnsi="Roboto" w:cs="Roboto"/>
          <w:b/>
          <w:color w:val="149494"/>
        </w:rPr>
      </w:pPr>
    </w:p>
    <w:p w14:paraId="2B9D9FAD" w14:textId="64C460F6" w:rsidR="00544B7A" w:rsidRDefault="00544B7A" w:rsidP="00544B7A">
      <w:pPr>
        <w:jc w:val="center"/>
        <w:rPr>
          <w:rFonts w:ascii="Roboto" w:eastAsia="Roboto" w:hAnsi="Roboto" w:cs="Roboto"/>
          <w:b/>
          <w:color w:val="149494"/>
        </w:rPr>
      </w:pPr>
      <w:r>
        <w:rPr>
          <w:rFonts w:ascii="Roboto" w:eastAsia="Roboto" w:hAnsi="Roboto" w:cs="Roboto"/>
          <w:b/>
          <w:noProof/>
          <w:color w:val="149494"/>
        </w:rPr>
        <w:drawing>
          <wp:inline distT="0" distB="0" distL="0" distR="0" wp14:anchorId="5CC89C00" wp14:editId="60080277">
            <wp:extent cx="2113163" cy="12763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Logo.png"/>
                    <pic:cNvPicPr/>
                  </pic:nvPicPr>
                  <pic:blipFill>
                    <a:blip r:embed="rId8">
                      <a:extLst>
                        <a:ext uri="{28A0092B-C50C-407E-A947-70E740481C1C}">
                          <a14:useLocalDpi xmlns:a14="http://schemas.microsoft.com/office/drawing/2010/main" val="0"/>
                        </a:ext>
                      </a:extLst>
                    </a:blip>
                    <a:stretch>
                      <a:fillRect/>
                    </a:stretch>
                  </pic:blipFill>
                  <pic:spPr>
                    <a:xfrm>
                      <a:off x="0" y="0"/>
                      <a:ext cx="2117395" cy="1278906"/>
                    </a:xfrm>
                    <a:prstGeom prst="rect">
                      <a:avLst/>
                    </a:prstGeom>
                  </pic:spPr>
                </pic:pic>
              </a:graphicData>
            </a:graphic>
          </wp:inline>
        </w:drawing>
      </w:r>
    </w:p>
    <w:p w14:paraId="4030D2A1" w14:textId="77777777" w:rsidR="00544B7A" w:rsidRDefault="00544B7A">
      <w:pPr>
        <w:jc w:val="right"/>
        <w:rPr>
          <w:rFonts w:ascii="Roboto" w:eastAsia="Roboto" w:hAnsi="Roboto" w:cs="Roboto"/>
          <w:b/>
          <w:color w:val="149494"/>
        </w:rPr>
      </w:pPr>
    </w:p>
    <w:p w14:paraId="53ED4899" w14:textId="77777777" w:rsidR="00544B7A" w:rsidRDefault="00544B7A">
      <w:pPr>
        <w:jc w:val="right"/>
        <w:rPr>
          <w:rFonts w:ascii="Roboto" w:eastAsia="Roboto" w:hAnsi="Roboto" w:cs="Roboto"/>
          <w:b/>
          <w:color w:val="149494"/>
        </w:rPr>
      </w:pPr>
    </w:p>
    <w:p w14:paraId="7428150B" w14:textId="77777777" w:rsidR="00544B7A" w:rsidRDefault="00544B7A">
      <w:pPr>
        <w:jc w:val="right"/>
        <w:rPr>
          <w:rFonts w:ascii="Roboto" w:eastAsia="Roboto" w:hAnsi="Roboto" w:cs="Roboto"/>
          <w:b/>
          <w:color w:val="149494"/>
        </w:rPr>
      </w:pPr>
    </w:p>
    <w:p w14:paraId="1DF6FB74" w14:textId="77777777" w:rsidR="00544B7A" w:rsidRDefault="00544B7A">
      <w:pPr>
        <w:jc w:val="right"/>
        <w:rPr>
          <w:rFonts w:ascii="Roboto" w:eastAsia="Roboto" w:hAnsi="Roboto" w:cs="Roboto"/>
          <w:b/>
          <w:color w:val="149494"/>
        </w:rPr>
      </w:pPr>
    </w:p>
    <w:p w14:paraId="22A35F26" w14:textId="77777777" w:rsidR="00544B7A" w:rsidRDefault="00544B7A">
      <w:pPr>
        <w:jc w:val="right"/>
        <w:rPr>
          <w:rFonts w:ascii="Roboto" w:eastAsia="Roboto" w:hAnsi="Roboto" w:cs="Roboto"/>
          <w:b/>
          <w:color w:val="149494"/>
        </w:rPr>
      </w:pPr>
    </w:p>
    <w:p w14:paraId="636CF436" w14:textId="77777777" w:rsidR="00544B7A" w:rsidRDefault="00544B7A">
      <w:pPr>
        <w:jc w:val="right"/>
        <w:rPr>
          <w:rFonts w:ascii="Roboto" w:eastAsia="Roboto" w:hAnsi="Roboto" w:cs="Roboto"/>
          <w:b/>
          <w:color w:val="149494"/>
        </w:rPr>
      </w:pPr>
    </w:p>
    <w:p w14:paraId="370B8C3D" w14:textId="77777777" w:rsidR="00544B7A" w:rsidRDefault="00544B7A">
      <w:pPr>
        <w:jc w:val="right"/>
        <w:rPr>
          <w:rFonts w:ascii="Roboto" w:eastAsia="Roboto" w:hAnsi="Roboto" w:cs="Roboto"/>
          <w:b/>
          <w:color w:val="149494"/>
        </w:rPr>
      </w:pPr>
    </w:p>
    <w:p w14:paraId="1A4E8BB6" w14:textId="77777777" w:rsidR="00544B7A" w:rsidRDefault="00544B7A">
      <w:pPr>
        <w:jc w:val="right"/>
        <w:rPr>
          <w:rFonts w:ascii="Roboto" w:eastAsia="Roboto" w:hAnsi="Roboto" w:cs="Roboto"/>
          <w:b/>
          <w:color w:val="149494"/>
        </w:rPr>
      </w:pPr>
    </w:p>
    <w:p w14:paraId="5F8DB631" w14:textId="77777777" w:rsidR="00544B7A" w:rsidRDefault="00544B7A">
      <w:pPr>
        <w:jc w:val="right"/>
        <w:rPr>
          <w:rFonts w:ascii="Roboto" w:eastAsia="Roboto" w:hAnsi="Roboto" w:cs="Roboto"/>
          <w:b/>
          <w:color w:val="149494"/>
        </w:rPr>
      </w:pPr>
    </w:p>
    <w:p w14:paraId="0A1317D2" w14:textId="7AD49887" w:rsidR="00CA64BF" w:rsidRDefault="00FA3A2B">
      <w:pPr>
        <w:jc w:val="right"/>
        <w:rPr>
          <w:rFonts w:ascii="Roboto" w:eastAsia="Roboto" w:hAnsi="Roboto" w:cs="Roboto"/>
          <w:b/>
          <w:color w:val="666666"/>
        </w:rPr>
      </w:pPr>
      <w:r>
        <w:rPr>
          <w:rFonts w:ascii="Roboto" w:eastAsia="Roboto" w:hAnsi="Roboto" w:cs="Roboto"/>
          <w:b/>
          <w:color w:val="149494"/>
        </w:rPr>
        <w:tab/>
      </w:r>
      <w:r>
        <w:rPr>
          <w:rFonts w:ascii="Roboto" w:eastAsia="Roboto" w:hAnsi="Roboto" w:cs="Roboto"/>
          <w:b/>
          <w:color w:val="149494"/>
        </w:rPr>
        <w:tab/>
      </w:r>
      <w:bookmarkStart w:id="0" w:name="_GoBack"/>
      <w:bookmarkEnd w:id="0"/>
    </w:p>
    <w:p w14:paraId="198580B3" w14:textId="77777777" w:rsidR="00CA64BF" w:rsidRDefault="00CA64BF">
      <w:pPr>
        <w:jc w:val="center"/>
        <w:rPr>
          <w:rFonts w:ascii="Roboto" w:eastAsia="Roboto" w:hAnsi="Roboto" w:cs="Roboto"/>
          <w:b/>
          <w:color w:val="666666"/>
        </w:rPr>
      </w:pPr>
    </w:p>
    <w:p w14:paraId="31A7095A" w14:textId="77777777" w:rsidR="00CA64BF" w:rsidRDefault="00FA3A2B">
      <w:pPr>
        <w:rPr>
          <w:rFonts w:ascii="Roboto" w:eastAsia="Roboto" w:hAnsi="Roboto" w:cs="Roboto"/>
          <w:b/>
          <w:color w:val="149494"/>
          <w:sz w:val="56"/>
          <w:szCs w:val="56"/>
        </w:rPr>
      </w:pPr>
      <w:r>
        <w:rPr>
          <w:rFonts w:ascii="Roboto" w:eastAsia="Roboto" w:hAnsi="Roboto" w:cs="Roboto"/>
          <w:b/>
          <w:color w:val="149494"/>
          <w:sz w:val="56"/>
          <w:szCs w:val="56"/>
        </w:rPr>
        <w:t>accuRx DPIA Template: Covid-19 Vaccine booking and recording</w:t>
      </w:r>
    </w:p>
    <w:p w14:paraId="701E8F9E" w14:textId="77777777" w:rsidR="00CA64BF" w:rsidRDefault="00CA64BF">
      <w:pPr>
        <w:jc w:val="center"/>
        <w:rPr>
          <w:rFonts w:ascii="Roboto" w:eastAsia="Roboto" w:hAnsi="Roboto" w:cs="Roboto"/>
          <w:sz w:val="20"/>
          <w:szCs w:val="20"/>
        </w:rPr>
      </w:pPr>
    </w:p>
    <w:p w14:paraId="5F789D01" w14:textId="77777777" w:rsidR="00CA64BF" w:rsidRDefault="00FA3A2B">
      <w:pPr>
        <w:jc w:val="both"/>
        <w:rPr>
          <w:rFonts w:ascii="Roboto" w:eastAsia="Roboto" w:hAnsi="Roboto" w:cs="Roboto"/>
          <w:sz w:val="20"/>
          <w:szCs w:val="20"/>
        </w:rPr>
      </w:pPr>
      <w:r>
        <w:rPr>
          <w:rFonts w:ascii="Roboto" w:eastAsia="Roboto" w:hAnsi="Roboto" w:cs="Roboto"/>
          <w:sz w:val="20"/>
          <w:szCs w:val="20"/>
        </w:rPr>
        <w:t xml:space="preserve">This template closely follows the ICO’s example of how you can record your DPIA process and outcome. It follows the process set out in the ICO’s DPIA guidance, and should be read alongside that guidance and the </w:t>
      </w:r>
      <w:hyperlink r:id="rId9">
        <w:r>
          <w:rPr>
            <w:rFonts w:ascii="Roboto" w:eastAsia="Roboto" w:hAnsi="Roboto" w:cs="Roboto"/>
            <w:color w:val="0000FF"/>
            <w:sz w:val="20"/>
            <w:szCs w:val="20"/>
            <w:u w:val="single"/>
          </w:rPr>
          <w:t>criteria for an acceptable DPIA</w:t>
        </w:r>
      </w:hyperlink>
      <w:r>
        <w:rPr>
          <w:rFonts w:ascii="Roboto" w:eastAsia="Roboto" w:hAnsi="Roboto" w:cs="Roboto"/>
          <w:sz w:val="20"/>
          <w:szCs w:val="20"/>
        </w:rPr>
        <w:t xml:space="preserve"> set out in European guidelines on DPIAs. </w:t>
      </w:r>
    </w:p>
    <w:p w14:paraId="312C0BE7" w14:textId="77777777" w:rsidR="00CA64BF" w:rsidRDefault="00CA64BF">
      <w:pPr>
        <w:rPr>
          <w:rFonts w:ascii="Roboto" w:eastAsia="Roboto" w:hAnsi="Roboto" w:cs="Roboto"/>
          <w:sz w:val="20"/>
          <w:szCs w:val="20"/>
        </w:rPr>
      </w:pPr>
    </w:p>
    <w:p w14:paraId="01D15CE9" w14:textId="77777777" w:rsidR="00CA64BF" w:rsidRDefault="00FA3A2B">
      <w:pPr>
        <w:jc w:val="both"/>
        <w:rPr>
          <w:rFonts w:ascii="Roboto" w:eastAsia="Roboto" w:hAnsi="Roboto" w:cs="Roboto"/>
          <w:sz w:val="20"/>
          <w:szCs w:val="20"/>
        </w:rPr>
      </w:pPr>
      <w:r>
        <w:rPr>
          <w:rFonts w:ascii="Roboto" w:eastAsia="Roboto" w:hAnsi="Roboto" w:cs="Roboto"/>
          <w:b/>
          <w:sz w:val="20"/>
          <w:szCs w:val="20"/>
        </w:rPr>
        <w:t xml:space="preserve">NB: As the data controller, when using accuRx, it is up to your organisation to complete a DPIA. As a data processor, we cannot complete it for you. However, to be as helpful as we can, we have filled in the key parts of this DPIA Template to describe how our software service processes personal data. </w:t>
      </w:r>
    </w:p>
    <w:p w14:paraId="57E60EC4" w14:textId="77777777" w:rsidR="00CA64BF" w:rsidRDefault="00CA64BF">
      <w:pPr>
        <w:rPr>
          <w:rFonts w:ascii="Roboto" w:eastAsia="Roboto" w:hAnsi="Roboto" w:cs="Roboto"/>
        </w:rPr>
      </w:pPr>
    </w:p>
    <w:p w14:paraId="2FD150EB" w14:textId="77777777" w:rsidR="00CA64BF" w:rsidRDefault="00CA64BF">
      <w:pPr>
        <w:rPr>
          <w:rFonts w:ascii="Roboto" w:eastAsia="Roboto" w:hAnsi="Roboto" w:cs="Roboto"/>
          <w:sz w:val="23"/>
          <w:szCs w:val="23"/>
        </w:rPr>
      </w:pPr>
    </w:p>
    <w:p w14:paraId="0C1A1E71" w14:textId="77777777" w:rsidR="00CA64BF" w:rsidRDefault="00FA3A2B">
      <w:pPr>
        <w:shd w:val="clear" w:color="auto" w:fill="149494"/>
        <w:rPr>
          <w:rFonts w:ascii="Roboto" w:eastAsia="Roboto" w:hAnsi="Roboto" w:cs="Roboto"/>
          <w:color w:val="FFFFFF"/>
          <w:sz w:val="36"/>
          <w:szCs w:val="36"/>
        </w:rPr>
      </w:pPr>
      <w:r>
        <w:rPr>
          <w:rFonts w:ascii="Roboto" w:eastAsia="Roboto" w:hAnsi="Roboto" w:cs="Roboto"/>
          <w:color w:val="FFFFFF"/>
          <w:sz w:val="36"/>
          <w:szCs w:val="36"/>
        </w:rPr>
        <w:t xml:space="preserve"> Submitting Controller Details</w:t>
      </w: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0"/>
        <w:gridCol w:w="4665"/>
      </w:tblGrid>
      <w:tr w:rsidR="00CA64BF" w14:paraId="6A1C7A26" w14:textId="77777777">
        <w:tc>
          <w:tcPr>
            <w:tcW w:w="5190" w:type="dxa"/>
          </w:tcPr>
          <w:p w14:paraId="610E8B13" w14:textId="77777777" w:rsidR="00CA64BF" w:rsidRDefault="00FA3A2B">
            <w:pPr>
              <w:spacing w:line="360" w:lineRule="auto"/>
              <w:rPr>
                <w:rFonts w:ascii="Roboto" w:eastAsia="Roboto" w:hAnsi="Roboto" w:cs="Roboto"/>
              </w:rPr>
            </w:pPr>
            <w:r>
              <w:rPr>
                <w:rFonts w:ascii="Roboto" w:eastAsia="Roboto" w:hAnsi="Roboto" w:cs="Roboto"/>
              </w:rPr>
              <w:t>Name of controller</w:t>
            </w:r>
          </w:p>
        </w:tc>
        <w:tc>
          <w:tcPr>
            <w:tcW w:w="4665" w:type="dxa"/>
          </w:tcPr>
          <w:p w14:paraId="05FA3052" w14:textId="269D8646" w:rsidR="00CA64BF" w:rsidRDefault="00544B7A">
            <w:pPr>
              <w:spacing w:line="360" w:lineRule="auto"/>
              <w:rPr>
                <w:rFonts w:ascii="Roboto" w:eastAsia="Roboto" w:hAnsi="Roboto" w:cs="Roboto"/>
              </w:rPr>
            </w:pPr>
            <w:r>
              <w:rPr>
                <w:rFonts w:ascii="Roboto" w:eastAsia="Roboto" w:hAnsi="Roboto" w:cs="Roboto"/>
              </w:rPr>
              <w:t xml:space="preserve">The Strand Medical </w:t>
            </w:r>
          </w:p>
        </w:tc>
      </w:tr>
      <w:tr w:rsidR="00CA64BF" w14:paraId="146A60CF" w14:textId="77777777">
        <w:trPr>
          <w:trHeight w:val="268"/>
        </w:trPr>
        <w:tc>
          <w:tcPr>
            <w:tcW w:w="5190" w:type="dxa"/>
          </w:tcPr>
          <w:p w14:paraId="61870521" w14:textId="77777777" w:rsidR="00CA64BF" w:rsidRDefault="00FA3A2B">
            <w:pPr>
              <w:spacing w:line="360" w:lineRule="auto"/>
              <w:rPr>
                <w:rFonts w:ascii="Roboto" w:eastAsia="Roboto" w:hAnsi="Roboto" w:cs="Roboto"/>
              </w:rPr>
            </w:pPr>
            <w:r>
              <w:rPr>
                <w:rFonts w:ascii="Roboto" w:eastAsia="Roboto" w:hAnsi="Roboto" w:cs="Roboto"/>
              </w:rPr>
              <w:t xml:space="preserve">Subject/title of DPO </w:t>
            </w:r>
          </w:p>
        </w:tc>
        <w:tc>
          <w:tcPr>
            <w:tcW w:w="4665" w:type="dxa"/>
          </w:tcPr>
          <w:p w14:paraId="13DCB076" w14:textId="180A8B8F" w:rsidR="00CA64BF" w:rsidRDefault="00042C99">
            <w:pPr>
              <w:spacing w:line="360" w:lineRule="auto"/>
              <w:rPr>
                <w:rFonts w:ascii="Roboto" w:eastAsia="Roboto" w:hAnsi="Roboto" w:cs="Roboto"/>
              </w:rPr>
            </w:pPr>
            <w:r>
              <w:rPr>
                <w:rFonts w:ascii="Roboto" w:eastAsia="Roboto" w:hAnsi="Roboto" w:cs="Roboto"/>
              </w:rPr>
              <w:t>AccuRX Covid 19 vaccine Booking and recording</w:t>
            </w:r>
          </w:p>
        </w:tc>
      </w:tr>
      <w:tr w:rsidR="00CA64BF" w14:paraId="48854EC2" w14:textId="77777777">
        <w:trPr>
          <w:trHeight w:val="554"/>
        </w:trPr>
        <w:tc>
          <w:tcPr>
            <w:tcW w:w="5190" w:type="dxa"/>
          </w:tcPr>
          <w:p w14:paraId="501092AE" w14:textId="77777777" w:rsidR="00CA64BF" w:rsidRDefault="00FA3A2B">
            <w:pPr>
              <w:spacing w:line="360" w:lineRule="auto"/>
              <w:rPr>
                <w:rFonts w:ascii="Roboto" w:eastAsia="Roboto" w:hAnsi="Roboto" w:cs="Roboto"/>
              </w:rPr>
            </w:pPr>
            <w:r>
              <w:rPr>
                <w:rFonts w:ascii="Roboto" w:eastAsia="Roboto" w:hAnsi="Roboto" w:cs="Roboto"/>
              </w:rPr>
              <w:t xml:space="preserve">Name of controller contact / DPO </w:t>
            </w:r>
          </w:p>
          <w:p w14:paraId="26D800DE" w14:textId="680651E1" w:rsidR="00CA64BF" w:rsidRDefault="00CA64BF">
            <w:pPr>
              <w:spacing w:line="360" w:lineRule="auto"/>
              <w:rPr>
                <w:rFonts w:ascii="Roboto" w:eastAsia="Roboto" w:hAnsi="Roboto" w:cs="Roboto"/>
              </w:rPr>
            </w:pPr>
          </w:p>
        </w:tc>
        <w:tc>
          <w:tcPr>
            <w:tcW w:w="4665" w:type="dxa"/>
          </w:tcPr>
          <w:p w14:paraId="47A60E74" w14:textId="5B0BA002" w:rsidR="00CA64BF" w:rsidRDefault="00042C99">
            <w:pPr>
              <w:spacing w:line="360" w:lineRule="auto"/>
              <w:rPr>
                <w:rFonts w:ascii="Roboto" w:eastAsia="Roboto" w:hAnsi="Roboto" w:cs="Roboto"/>
              </w:rPr>
            </w:pPr>
            <w:r>
              <w:rPr>
                <w:rFonts w:ascii="Roboto" w:eastAsia="Roboto" w:hAnsi="Roboto" w:cs="Roboto"/>
              </w:rPr>
              <w:t>Trudy Slade</w:t>
            </w:r>
          </w:p>
        </w:tc>
      </w:tr>
    </w:tbl>
    <w:p w14:paraId="3D2B416B" w14:textId="77777777" w:rsidR="00CA64BF" w:rsidRDefault="00CA64BF">
      <w:pPr>
        <w:rPr>
          <w:rFonts w:ascii="Roboto" w:eastAsia="Roboto" w:hAnsi="Roboto" w:cs="Roboto"/>
          <w:sz w:val="20"/>
          <w:szCs w:val="20"/>
        </w:rPr>
      </w:pPr>
    </w:p>
    <w:p w14:paraId="3F7970A6" w14:textId="77777777" w:rsidR="00CA64BF" w:rsidRDefault="00FA3A2B">
      <w:pPr>
        <w:rPr>
          <w:rFonts w:ascii="Roboto" w:eastAsia="Roboto" w:hAnsi="Roboto" w:cs="Roboto"/>
          <w:sz w:val="20"/>
          <w:szCs w:val="20"/>
        </w:rPr>
      </w:pPr>
      <w:r>
        <w:br w:type="page"/>
      </w:r>
    </w:p>
    <w:p w14:paraId="30E374C9" w14:textId="77777777" w:rsidR="00CA64BF" w:rsidRDefault="00FA3A2B">
      <w:pPr>
        <w:shd w:val="clear" w:color="auto" w:fill="149494"/>
        <w:rPr>
          <w:rFonts w:ascii="Roboto" w:eastAsia="Roboto" w:hAnsi="Roboto" w:cs="Roboto"/>
          <w:color w:val="FFFFFF"/>
          <w:sz w:val="36"/>
          <w:szCs w:val="36"/>
        </w:rPr>
      </w:pPr>
      <w:r>
        <w:rPr>
          <w:rFonts w:ascii="Roboto" w:eastAsia="Roboto" w:hAnsi="Roboto" w:cs="Roboto"/>
          <w:color w:val="FFFFFF"/>
          <w:sz w:val="36"/>
          <w:szCs w:val="36"/>
        </w:rPr>
        <w:lastRenderedPageBreak/>
        <w:t xml:space="preserve"> Step 1: Identify the need for a DPIA</w:t>
      </w:r>
      <w:r>
        <w:rPr>
          <w:rFonts w:ascii="Roboto" w:eastAsia="Roboto" w:hAnsi="Roboto" w:cs="Roboto"/>
          <w:color w:val="FFFFFF"/>
          <w:sz w:val="36"/>
          <w:szCs w:val="36"/>
        </w:rPr>
        <w:tab/>
      </w:r>
      <w:r>
        <w:rPr>
          <w:rFonts w:ascii="Roboto" w:eastAsia="Roboto" w:hAnsi="Roboto" w:cs="Roboto"/>
          <w:color w:val="FFFFFF"/>
          <w:sz w:val="36"/>
          <w:szCs w:val="36"/>
        </w:rPr>
        <w:tab/>
      </w:r>
    </w:p>
    <w:tbl>
      <w:tblPr>
        <w:tblStyle w:val="a0"/>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5"/>
      </w:tblGrid>
      <w:tr w:rsidR="00CA64BF" w14:paraId="060A504E" w14:textId="77777777">
        <w:trPr>
          <w:trHeight w:val="497"/>
        </w:trPr>
        <w:tc>
          <w:tcPr>
            <w:tcW w:w="9855" w:type="dxa"/>
          </w:tcPr>
          <w:p w14:paraId="21040CC0" w14:textId="77777777" w:rsidR="00CA64BF" w:rsidRDefault="00CA64BF">
            <w:pPr>
              <w:spacing w:line="276" w:lineRule="auto"/>
              <w:jc w:val="both"/>
              <w:rPr>
                <w:rFonts w:ascii="Roboto" w:eastAsia="Roboto" w:hAnsi="Roboto" w:cs="Roboto"/>
                <w:color w:val="666666"/>
              </w:rPr>
            </w:pPr>
          </w:p>
          <w:p w14:paraId="3369F166" w14:textId="77777777" w:rsidR="00CA64BF" w:rsidRDefault="00FA3A2B">
            <w:pPr>
              <w:spacing w:line="276" w:lineRule="auto"/>
              <w:jc w:val="both"/>
              <w:rPr>
                <w:rFonts w:ascii="Roboto" w:eastAsia="Roboto" w:hAnsi="Roboto" w:cs="Roboto"/>
                <w:color w:val="666666"/>
              </w:rPr>
            </w:pPr>
            <w:r>
              <w:rPr>
                <w:rFonts w:ascii="Roboto" w:eastAsia="Roboto" w:hAnsi="Roboto" w:cs="Roboto"/>
                <w:color w:val="666666"/>
              </w:rPr>
              <w:t>Summarise why you identified the need for a DPIA.</w:t>
            </w:r>
          </w:p>
          <w:p w14:paraId="025EB31F" w14:textId="77777777" w:rsidR="00CA64BF" w:rsidRDefault="00CA64BF">
            <w:pPr>
              <w:spacing w:line="276" w:lineRule="auto"/>
              <w:jc w:val="both"/>
              <w:rPr>
                <w:rFonts w:ascii="Roboto" w:eastAsia="Roboto" w:hAnsi="Roboto" w:cs="Roboto"/>
                <w:color w:val="666666"/>
              </w:rPr>
            </w:pPr>
          </w:p>
        </w:tc>
      </w:tr>
      <w:tr w:rsidR="00CA64BF" w14:paraId="13591DCB" w14:textId="77777777">
        <w:trPr>
          <w:trHeight w:val="2862"/>
        </w:trPr>
        <w:tc>
          <w:tcPr>
            <w:tcW w:w="9855" w:type="dxa"/>
          </w:tcPr>
          <w:p w14:paraId="54B781F9" w14:textId="77777777" w:rsidR="00CA64BF" w:rsidRDefault="00CA64BF">
            <w:pPr>
              <w:rPr>
                <w:rFonts w:ascii="Roboto" w:eastAsia="Roboto" w:hAnsi="Roboto" w:cs="Roboto"/>
              </w:rPr>
            </w:pPr>
          </w:p>
          <w:p w14:paraId="1F0222CA" w14:textId="77777777" w:rsidR="00CA64BF" w:rsidRDefault="00FA3A2B">
            <w:pPr>
              <w:jc w:val="both"/>
              <w:rPr>
                <w:rFonts w:ascii="Roboto" w:eastAsia="Roboto" w:hAnsi="Roboto" w:cs="Roboto"/>
              </w:rPr>
            </w:pPr>
            <w:r>
              <w:rPr>
                <w:rFonts w:ascii="Roboto" w:eastAsia="Roboto" w:hAnsi="Roboto" w:cs="Roboto"/>
              </w:rPr>
              <w:t xml:space="preserve">accuRx’s mission is to improve communications between healthcare staff and patients. </w:t>
            </w:r>
          </w:p>
          <w:p w14:paraId="2FFD54CF" w14:textId="77777777" w:rsidR="00CA64BF" w:rsidRDefault="00CA64BF">
            <w:pPr>
              <w:jc w:val="both"/>
              <w:rPr>
                <w:rFonts w:ascii="Roboto" w:eastAsia="Roboto" w:hAnsi="Roboto" w:cs="Roboto"/>
              </w:rPr>
            </w:pPr>
          </w:p>
          <w:p w14:paraId="24AB503C" w14:textId="77777777" w:rsidR="00CA64BF" w:rsidRDefault="00FA3A2B">
            <w:pPr>
              <w:jc w:val="both"/>
              <w:rPr>
                <w:rFonts w:ascii="Roboto" w:eastAsia="Roboto" w:hAnsi="Roboto" w:cs="Roboto"/>
              </w:rPr>
            </w:pPr>
            <w:r>
              <w:rPr>
                <w:rFonts w:ascii="Roboto" w:eastAsia="Roboto" w:hAnsi="Roboto" w:cs="Roboto"/>
              </w:rPr>
              <w:t>Using the vaccine appointment management feature (accuBook) in the accuRx platform will help the providers of the vaccination service communicate with patients and coordinate bookings for their vaccinations.</w:t>
            </w:r>
          </w:p>
          <w:p w14:paraId="5B31C8C4" w14:textId="77777777" w:rsidR="00CA64BF" w:rsidRDefault="00CA64BF">
            <w:pPr>
              <w:jc w:val="both"/>
              <w:rPr>
                <w:rFonts w:ascii="Roboto" w:eastAsia="Roboto" w:hAnsi="Roboto" w:cs="Roboto"/>
              </w:rPr>
            </w:pPr>
          </w:p>
          <w:p w14:paraId="1FEFDF2C" w14:textId="77777777" w:rsidR="00CA64BF" w:rsidRDefault="00FA3A2B">
            <w:pPr>
              <w:jc w:val="both"/>
              <w:rPr>
                <w:rFonts w:ascii="Roboto" w:eastAsia="Roboto" w:hAnsi="Roboto" w:cs="Roboto"/>
              </w:rPr>
            </w:pPr>
            <w:r>
              <w:rPr>
                <w:rFonts w:ascii="Roboto" w:eastAsia="Roboto" w:hAnsi="Roboto" w:cs="Roboto"/>
              </w:rPr>
              <w:t xml:space="preserve">Using the vaccine recording feature (AKA accuTrack - TBC) will enable staff working at the vaccination centre to capture information about the vaccination event, and any adverse reactions. </w:t>
            </w:r>
          </w:p>
          <w:p w14:paraId="505157E7" w14:textId="77777777" w:rsidR="00CA64BF" w:rsidRDefault="00CA64BF">
            <w:pPr>
              <w:jc w:val="both"/>
              <w:rPr>
                <w:rFonts w:ascii="Roboto" w:eastAsia="Roboto" w:hAnsi="Roboto" w:cs="Roboto"/>
                <w:b/>
                <w:highlight w:val="yellow"/>
              </w:rPr>
            </w:pPr>
          </w:p>
          <w:p w14:paraId="0B4A63C0" w14:textId="77777777" w:rsidR="00CA64BF" w:rsidRDefault="00CA64BF">
            <w:pPr>
              <w:jc w:val="both"/>
              <w:rPr>
                <w:rFonts w:ascii="Roboto" w:eastAsia="Roboto" w:hAnsi="Roboto" w:cs="Roboto"/>
              </w:rPr>
            </w:pPr>
          </w:p>
          <w:p w14:paraId="3FE16D74" w14:textId="77777777" w:rsidR="00CA64BF" w:rsidRDefault="00FA3A2B">
            <w:pPr>
              <w:jc w:val="both"/>
              <w:rPr>
                <w:rFonts w:ascii="Roboto" w:eastAsia="Roboto" w:hAnsi="Roboto" w:cs="Roboto"/>
              </w:rPr>
            </w:pPr>
            <w:r>
              <w:rPr>
                <w:rFonts w:ascii="Roboto" w:eastAsia="Roboto" w:hAnsi="Roboto" w:cs="Roboto"/>
              </w:rPr>
              <w:t xml:space="preserve">Both features can be used to share personal information about patients that is controlled by a provider organisation with other providers if the organisation enables this.  </w:t>
            </w:r>
          </w:p>
          <w:p w14:paraId="4630D787" w14:textId="77777777" w:rsidR="00CA64BF" w:rsidRDefault="00CA64BF">
            <w:pPr>
              <w:jc w:val="both"/>
              <w:rPr>
                <w:rFonts w:ascii="Roboto" w:eastAsia="Roboto" w:hAnsi="Roboto" w:cs="Roboto"/>
              </w:rPr>
            </w:pPr>
          </w:p>
          <w:p w14:paraId="5AC92E75" w14:textId="77777777" w:rsidR="00CA64BF" w:rsidRDefault="00FA3A2B">
            <w:pPr>
              <w:jc w:val="both"/>
              <w:rPr>
                <w:rFonts w:ascii="Roboto" w:eastAsia="Roboto" w:hAnsi="Roboto" w:cs="Roboto"/>
              </w:rPr>
            </w:pPr>
            <w:r>
              <w:rPr>
                <w:rFonts w:ascii="Roboto" w:eastAsia="Roboto" w:hAnsi="Roboto" w:cs="Roboto"/>
              </w:rPr>
              <w:t xml:space="preserve">Information about all recorded vaccination events and adverse reactions will be automatically sent to NHS Digital in line with the requirements of the national Covid-19 vaccination programme, in order to update the National Immunisation Management Service (NIMS). Both features will also use personal data received from NIMS is managed by NHS Digital. </w:t>
            </w:r>
          </w:p>
          <w:p w14:paraId="7308253A" w14:textId="77777777" w:rsidR="00CA64BF" w:rsidRDefault="00CA64BF">
            <w:pPr>
              <w:jc w:val="both"/>
              <w:rPr>
                <w:rFonts w:ascii="Roboto" w:eastAsia="Roboto" w:hAnsi="Roboto" w:cs="Roboto"/>
              </w:rPr>
            </w:pPr>
          </w:p>
          <w:p w14:paraId="1A892366" w14:textId="77777777" w:rsidR="00CA64BF" w:rsidRDefault="00FA3A2B">
            <w:pPr>
              <w:jc w:val="both"/>
              <w:rPr>
                <w:rFonts w:ascii="Roboto" w:eastAsia="Roboto" w:hAnsi="Roboto" w:cs="Roboto"/>
              </w:rPr>
            </w:pPr>
            <w:r>
              <w:rPr>
                <w:rFonts w:ascii="Roboto" w:eastAsia="Roboto" w:hAnsi="Roboto" w:cs="Roboto"/>
              </w:rPr>
              <w:t>The use of both features can involve processing special category personal data about patients.</w:t>
            </w:r>
          </w:p>
          <w:p w14:paraId="1A1FC750" w14:textId="77777777" w:rsidR="00CA64BF" w:rsidRDefault="00CA64BF">
            <w:pPr>
              <w:jc w:val="both"/>
              <w:rPr>
                <w:rFonts w:ascii="Roboto" w:eastAsia="Roboto" w:hAnsi="Roboto" w:cs="Roboto"/>
              </w:rPr>
            </w:pPr>
          </w:p>
          <w:p w14:paraId="502E17EF" w14:textId="20F4C0FB" w:rsidR="00CA64BF" w:rsidRDefault="00FA3A2B" w:rsidP="00544B7A">
            <w:pPr>
              <w:jc w:val="both"/>
              <w:rPr>
                <w:rFonts w:ascii="Roboto" w:eastAsia="Roboto" w:hAnsi="Roboto" w:cs="Roboto"/>
              </w:rPr>
            </w:pPr>
            <w:r>
              <w:rPr>
                <w:rFonts w:ascii="Roboto" w:eastAsia="Roboto" w:hAnsi="Roboto" w:cs="Roboto"/>
              </w:rPr>
              <w:t xml:space="preserve">This DPIA describes the use of personal information in the software platform, and the data sharing arrangements. It also describes risks mitigated by design in the software. It also describes the ways in which </w:t>
            </w:r>
            <w:r w:rsidR="00544B7A">
              <w:rPr>
                <w:rFonts w:ascii="Roboto" w:eastAsia="Roboto" w:hAnsi="Roboto" w:cs="Roboto"/>
              </w:rPr>
              <w:t>The Strand Medical</w:t>
            </w:r>
            <w:r>
              <w:rPr>
                <w:rFonts w:ascii="Roboto" w:eastAsia="Roboto" w:hAnsi="Roboto" w:cs="Roboto"/>
              </w:rPr>
              <w:t xml:space="preserve"> can mitigate privacy risks. </w:t>
            </w:r>
          </w:p>
        </w:tc>
      </w:tr>
    </w:tbl>
    <w:p w14:paraId="5CD8B2C9" w14:textId="77777777" w:rsidR="00CA64BF" w:rsidRDefault="00CA64BF">
      <w:pPr>
        <w:rPr>
          <w:rFonts w:ascii="Roboto" w:eastAsia="Roboto" w:hAnsi="Roboto" w:cs="Roboto"/>
          <w:color w:val="FFFFFF"/>
          <w:sz w:val="36"/>
          <w:szCs w:val="36"/>
          <w:shd w:val="clear" w:color="auto" w:fill="149494"/>
        </w:rPr>
      </w:pPr>
    </w:p>
    <w:p w14:paraId="004FB226" w14:textId="77777777" w:rsidR="00CA64BF" w:rsidRDefault="00CA64BF">
      <w:pPr>
        <w:rPr>
          <w:rFonts w:ascii="Roboto" w:eastAsia="Roboto" w:hAnsi="Roboto" w:cs="Roboto"/>
          <w:color w:val="FFFFFF"/>
          <w:sz w:val="36"/>
          <w:szCs w:val="36"/>
          <w:shd w:val="clear" w:color="auto" w:fill="149494"/>
        </w:rPr>
      </w:pPr>
    </w:p>
    <w:p w14:paraId="0C720937" w14:textId="77777777" w:rsidR="00CA64BF" w:rsidRDefault="00CA64BF">
      <w:pPr>
        <w:rPr>
          <w:rFonts w:ascii="Roboto" w:eastAsia="Roboto" w:hAnsi="Roboto" w:cs="Roboto"/>
          <w:color w:val="FFFFFF"/>
          <w:sz w:val="36"/>
          <w:szCs w:val="36"/>
          <w:shd w:val="clear" w:color="auto" w:fill="149494"/>
        </w:rPr>
      </w:pPr>
    </w:p>
    <w:p w14:paraId="0DD8394F" w14:textId="77777777" w:rsidR="00CA64BF" w:rsidRDefault="00CA64BF">
      <w:pPr>
        <w:rPr>
          <w:rFonts w:ascii="Roboto" w:eastAsia="Roboto" w:hAnsi="Roboto" w:cs="Roboto"/>
          <w:color w:val="FFFFFF"/>
          <w:sz w:val="36"/>
          <w:szCs w:val="36"/>
          <w:shd w:val="clear" w:color="auto" w:fill="149494"/>
        </w:rPr>
      </w:pPr>
    </w:p>
    <w:p w14:paraId="3B1B41A4" w14:textId="77777777" w:rsidR="00CA64BF" w:rsidRDefault="00CA64BF">
      <w:pPr>
        <w:rPr>
          <w:rFonts w:ascii="Roboto" w:eastAsia="Roboto" w:hAnsi="Roboto" w:cs="Roboto"/>
          <w:color w:val="FFFFFF"/>
          <w:sz w:val="36"/>
          <w:szCs w:val="36"/>
          <w:shd w:val="clear" w:color="auto" w:fill="149494"/>
        </w:rPr>
      </w:pPr>
    </w:p>
    <w:p w14:paraId="1FB1F2C8" w14:textId="77777777" w:rsidR="00CA64BF" w:rsidRDefault="00FA3A2B">
      <w:pPr>
        <w:rPr>
          <w:rFonts w:ascii="Roboto" w:eastAsia="Roboto" w:hAnsi="Roboto" w:cs="Roboto"/>
          <w:color w:val="FFFFFF"/>
          <w:sz w:val="36"/>
          <w:szCs w:val="36"/>
          <w:shd w:val="clear" w:color="auto" w:fill="149494"/>
        </w:rPr>
      </w:pPr>
      <w:r>
        <w:br w:type="page"/>
      </w:r>
    </w:p>
    <w:p w14:paraId="08BB9550" w14:textId="77777777" w:rsidR="00CA64BF" w:rsidRDefault="00CA64BF">
      <w:pPr>
        <w:rPr>
          <w:rFonts w:ascii="Roboto" w:eastAsia="Roboto" w:hAnsi="Roboto" w:cs="Roboto"/>
          <w:color w:val="FFFFFF"/>
          <w:sz w:val="36"/>
          <w:szCs w:val="36"/>
          <w:shd w:val="clear" w:color="auto" w:fill="149494"/>
        </w:rPr>
      </w:pPr>
    </w:p>
    <w:tbl>
      <w:tblPr>
        <w:tblStyle w:val="a1"/>
        <w:tblW w:w="98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CA64BF" w14:paraId="1F4BFAC6" w14:textId="77777777">
        <w:trPr>
          <w:trHeight w:val="495"/>
        </w:trPr>
        <w:tc>
          <w:tcPr>
            <w:tcW w:w="9840" w:type="dxa"/>
            <w:shd w:val="clear" w:color="auto" w:fill="149494"/>
          </w:tcPr>
          <w:p w14:paraId="1F5BC973" w14:textId="77777777" w:rsidR="00CA64BF" w:rsidRDefault="00FA3A2B">
            <w:pPr>
              <w:shd w:val="clear" w:color="auto" w:fill="149494"/>
              <w:spacing w:line="276" w:lineRule="auto"/>
              <w:rPr>
                <w:rFonts w:ascii="Roboto" w:eastAsia="Roboto" w:hAnsi="Roboto" w:cs="Roboto"/>
                <w:b/>
                <w:color w:val="666666"/>
              </w:rPr>
            </w:pPr>
            <w:r>
              <w:rPr>
                <w:rFonts w:ascii="Roboto" w:eastAsia="Roboto" w:hAnsi="Roboto" w:cs="Roboto"/>
                <w:color w:val="FFFFFF"/>
                <w:sz w:val="36"/>
                <w:szCs w:val="36"/>
              </w:rPr>
              <w:t xml:space="preserve"> Step 2: Describe the processing</w:t>
            </w:r>
            <w:r>
              <w:rPr>
                <w:rFonts w:ascii="Roboto" w:eastAsia="Roboto" w:hAnsi="Roboto" w:cs="Roboto"/>
                <w:color w:val="FFFFFF"/>
                <w:sz w:val="36"/>
                <w:szCs w:val="36"/>
              </w:rPr>
              <w:tab/>
            </w:r>
          </w:p>
        </w:tc>
      </w:tr>
      <w:tr w:rsidR="00CA64BF" w14:paraId="45FE0A83" w14:textId="77777777">
        <w:trPr>
          <w:trHeight w:val="1065"/>
        </w:trPr>
        <w:tc>
          <w:tcPr>
            <w:tcW w:w="9840" w:type="dxa"/>
          </w:tcPr>
          <w:p w14:paraId="40E04809" w14:textId="77777777" w:rsidR="00CA64BF" w:rsidRDefault="00CA64BF">
            <w:pPr>
              <w:spacing w:line="276" w:lineRule="auto"/>
              <w:rPr>
                <w:rFonts w:ascii="Roboto" w:eastAsia="Roboto" w:hAnsi="Roboto" w:cs="Roboto"/>
                <w:b/>
                <w:color w:val="666666"/>
              </w:rPr>
            </w:pPr>
          </w:p>
          <w:p w14:paraId="77384D65" w14:textId="77777777" w:rsidR="00CA64BF" w:rsidRDefault="00FA3A2B">
            <w:pPr>
              <w:spacing w:line="276" w:lineRule="auto"/>
              <w:rPr>
                <w:rFonts w:ascii="Roboto" w:eastAsia="Roboto" w:hAnsi="Roboto" w:cs="Roboto"/>
                <w:color w:val="666666"/>
              </w:rPr>
            </w:pPr>
            <w:r>
              <w:rPr>
                <w:rFonts w:ascii="Roboto" w:eastAsia="Roboto" w:hAnsi="Roboto" w:cs="Roboto"/>
                <w:b/>
                <w:color w:val="666666"/>
              </w:rPr>
              <w:t xml:space="preserve">Describe the nature of the processing: </w:t>
            </w:r>
            <w:r>
              <w:rPr>
                <w:rFonts w:ascii="Roboto" w:eastAsia="Roboto" w:hAnsi="Roboto" w:cs="Roboto"/>
                <w:color w:val="666666"/>
              </w:rPr>
              <w:t xml:space="preserve">how will you collect, use, store and delete data? What is the source of the data? Will you be sharing data with anyone? </w:t>
            </w:r>
          </w:p>
        </w:tc>
      </w:tr>
      <w:tr w:rsidR="00CA64BF" w14:paraId="1F1329AD" w14:textId="77777777">
        <w:trPr>
          <w:trHeight w:val="2783"/>
        </w:trPr>
        <w:tc>
          <w:tcPr>
            <w:tcW w:w="9840" w:type="dxa"/>
          </w:tcPr>
          <w:p w14:paraId="3DE60FF1" w14:textId="77777777" w:rsidR="00CA64BF" w:rsidRDefault="00FA3A2B">
            <w:pPr>
              <w:spacing w:line="276" w:lineRule="auto"/>
              <w:rPr>
                <w:rFonts w:ascii="Roboto" w:eastAsia="Roboto" w:hAnsi="Roboto" w:cs="Roboto"/>
              </w:rPr>
            </w:pPr>
            <w:r>
              <w:rPr>
                <w:rFonts w:ascii="Roboto" w:eastAsia="Roboto" w:hAnsi="Roboto" w:cs="Roboto"/>
              </w:rPr>
              <w:t xml:space="preserve">To support transparency of the data processing being carried out by accuRx on behalf of the organisation completing this DPIA, the organisation may choose to inform patients of the use of the accuRx solution through inserting a short summary into their privacy notices. </w:t>
            </w:r>
          </w:p>
          <w:p w14:paraId="3DFE6DE9" w14:textId="77777777" w:rsidR="00CA64BF" w:rsidRDefault="00FA3A2B">
            <w:pPr>
              <w:spacing w:line="276" w:lineRule="auto"/>
              <w:rPr>
                <w:rFonts w:ascii="Roboto" w:eastAsia="Roboto" w:hAnsi="Roboto" w:cs="Roboto"/>
              </w:rPr>
            </w:pPr>
            <w:r>
              <w:rPr>
                <w:rFonts w:ascii="Roboto" w:eastAsia="Roboto" w:hAnsi="Roboto" w:cs="Roboto"/>
              </w:rPr>
              <w:t xml:space="preserve">accuRx provides a </w:t>
            </w:r>
            <w:hyperlink r:id="rId10">
              <w:r>
                <w:rPr>
                  <w:rFonts w:ascii="Roboto" w:eastAsia="Roboto" w:hAnsi="Roboto" w:cs="Roboto"/>
                  <w:color w:val="1155CC"/>
                  <w:u w:val="single"/>
                </w:rPr>
                <w:t>page designed for patients</w:t>
              </w:r>
            </w:hyperlink>
            <w:r>
              <w:rPr>
                <w:rFonts w:ascii="Roboto" w:eastAsia="Roboto" w:hAnsi="Roboto" w:cs="Roboto"/>
              </w:rPr>
              <w:t xml:space="preserve"> to explain its role in communication and patient data use that you are welcome to refer to. </w:t>
            </w:r>
          </w:p>
          <w:p w14:paraId="64CB69EB" w14:textId="77777777" w:rsidR="00CA64BF" w:rsidRDefault="00FA3A2B">
            <w:pPr>
              <w:spacing w:line="276" w:lineRule="auto"/>
              <w:rPr>
                <w:rFonts w:ascii="Roboto" w:eastAsia="Roboto" w:hAnsi="Roboto" w:cs="Roboto"/>
              </w:rPr>
            </w:pPr>
            <w:r>
              <w:rPr>
                <w:rFonts w:ascii="Roboto" w:eastAsia="Roboto" w:hAnsi="Roboto" w:cs="Roboto"/>
              </w:rPr>
              <w:t xml:space="preserve">Specific guidance on how to set out your privacy notice is widely available. For example, the BMA provides </w:t>
            </w:r>
            <w:hyperlink r:id="rId11">
              <w:r>
                <w:rPr>
                  <w:rFonts w:ascii="Roboto" w:eastAsia="Roboto" w:hAnsi="Roboto" w:cs="Roboto"/>
                  <w:color w:val="1155CC"/>
                  <w:u w:val="single"/>
                </w:rPr>
                <w:t>for GP practices here</w:t>
              </w:r>
            </w:hyperlink>
            <w:r>
              <w:rPr>
                <w:rFonts w:ascii="Roboto" w:eastAsia="Roboto" w:hAnsi="Roboto" w:cs="Roboto"/>
              </w:rPr>
              <w:t>.</w:t>
            </w:r>
          </w:p>
          <w:p w14:paraId="6AAB5A40" w14:textId="77777777" w:rsidR="00CA64BF" w:rsidRDefault="00CA64BF">
            <w:pPr>
              <w:spacing w:line="276" w:lineRule="auto"/>
              <w:rPr>
                <w:rFonts w:ascii="Roboto" w:eastAsia="Roboto" w:hAnsi="Roboto" w:cs="Roboto"/>
              </w:rPr>
            </w:pPr>
          </w:p>
          <w:p w14:paraId="4AB22915" w14:textId="77777777" w:rsidR="00CA64BF" w:rsidRDefault="00FA3A2B">
            <w:pPr>
              <w:spacing w:line="276" w:lineRule="auto"/>
              <w:rPr>
                <w:rFonts w:ascii="Roboto" w:eastAsia="Roboto" w:hAnsi="Roboto" w:cs="Roboto"/>
              </w:rPr>
            </w:pPr>
            <w:r>
              <w:rPr>
                <w:rFonts w:ascii="Roboto" w:eastAsia="Roboto" w:hAnsi="Roboto" w:cs="Roboto"/>
              </w:rPr>
              <w:t xml:space="preserve">accuBook and accuTrack are designed to support the Covid-19 vaccination programme. They are only available to organisations providing Covid-19 vaccines in line with the requirements of national programmes in England. Both are NHS Digital assured solutions for Appointment Management and Vaccine Recording respectively. </w:t>
            </w:r>
          </w:p>
          <w:p w14:paraId="2FDEF0AF" w14:textId="77777777" w:rsidR="00CA64BF" w:rsidRDefault="00CA64BF">
            <w:pPr>
              <w:spacing w:line="276" w:lineRule="auto"/>
              <w:rPr>
                <w:rFonts w:ascii="Roboto" w:eastAsia="Roboto" w:hAnsi="Roboto" w:cs="Roboto"/>
              </w:rPr>
            </w:pPr>
          </w:p>
          <w:p w14:paraId="16C42C30" w14:textId="77777777" w:rsidR="00CA64BF" w:rsidRDefault="00FA3A2B">
            <w:pPr>
              <w:spacing w:line="276" w:lineRule="auto"/>
              <w:rPr>
                <w:rFonts w:ascii="Roboto" w:eastAsia="Roboto" w:hAnsi="Roboto" w:cs="Roboto"/>
              </w:rPr>
            </w:pPr>
            <w:r>
              <w:rPr>
                <w:rFonts w:ascii="Roboto" w:eastAsia="Roboto" w:hAnsi="Roboto" w:cs="Roboto"/>
              </w:rPr>
              <w:t>They must only be used for the purposes of inviting patients to Covid-19 vaccination appointments, managing those appointments, and for the recording of those vaccinations and any adverse events. Any use outside of these purposes is in breach of the terms and conditions of accuRx’s services and the Data Processing Agreement between the two organisations.</w:t>
            </w:r>
          </w:p>
          <w:p w14:paraId="7EDFF344" w14:textId="77777777" w:rsidR="00CA64BF" w:rsidRDefault="00CA64BF">
            <w:pPr>
              <w:spacing w:line="276" w:lineRule="auto"/>
              <w:rPr>
                <w:rFonts w:ascii="Roboto" w:eastAsia="Roboto" w:hAnsi="Roboto" w:cs="Roboto"/>
              </w:rPr>
            </w:pPr>
          </w:p>
          <w:p w14:paraId="708482FE" w14:textId="77777777" w:rsidR="00CA64BF" w:rsidRDefault="00FA3A2B">
            <w:pPr>
              <w:spacing w:line="276" w:lineRule="auto"/>
              <w:rPr>
                <w:rFonts w:ascii="Roboto" w:eastAsia="Roboto" w:hAnsi="Roboto" w:cs="Roboto"/>
              </w:rPr>
            </w:pPr>
            <w:r>
              <w:rPr>
                <w:rFonts w:ascii="Roboto" w:eastAsia="Roboto" w:hAnsi="Roboto" w:cs="Roboto"/>
              </w:rPr>
              <w:t>The data flow diagram here depicts the processing conducted in accuBook:</w:t>
            </w:r>
          </w:p>
          <w:p w14:paraId="26A23DE4" w14:textId="77777777" w:rsidR="00CA64BF" w:rsidRDefault="00544B7A">
            <w:pPr>
              <w:spacing w:line="276" w:lineRule="auto"/>
              <w:rPr>
                <w:rFonts w:ascii="Roboto" w:eastAsia="Roboto" w:hAnsi="Roboto" w:cs="Roboto"/>
                <w:b/>
              </w:rPr>
            </w:pPr>
            <w:hyperlink r:id="rId12">
              <w:r w:rsidR="00FA3A2B">
                <w:rPr>
                  <w:rFonts w:ascii="Roboto" w:eastAsia="Roboto" w:hAnsi="Roboto" w:cs="Roboto"/>
                  <w:b/>
                  <w:color w:val="1155CC"/>
                  <w:u w:val="single"/>
                </w:rPr>
                <w:t>Data flows for accuRx vaccine booking and record solutions</w:t>
              </w:r>
            </w:hyperlink>
          </w:p>
          <w:p w14:paraId="392D11CB" w14:textId="77777777" w:rsidR="00CA64BF" w:rsidRDefault="00CA64BF">
            <w:pPr>
              <w:spacing w:line="276" w:lineRule="auto"/>
              <w:rPr>
                <w:rFonts w:ascii="Roboto" w:eastAsia="Roboto" w:hAnsi="Roboto" w:cs="Roboto"/>
                <w:b/>
              </w:rPr>
            </w:pPr>
          </w:p>
          <w:p w14:paraId="11107AE8" w14:textId="77777777" w:rsidR="00CA64BF" w:rsidRDefault="00FA3A2B">
            <w:pPr>
              <w:spacing w:line="276" w:lineRule="auto"/>
              <w:rPr>
                <w:rFonts w:ascii="Roboto" w:eastAsia="Roboto" w:hAnsi="Roboto" w:cs="Roboto"/>
              </w:rPr>
            </w:pPr>
            <w:r>
              <w:rPr>
                <w:rFonts w:ascii="Roboto" w:eastAsia="Roboto" w:hAnsi="Roboto" w:cs="Roboto"/>
              </w:rPr>
              <w:t>The configuration diagram here shows how organisations are linked in a network to a lead organisation, which defines delivery site(s); approved users from other organisations can access the information uploaded to accuBook by a given practice:</w:t>
            </w:r>
          </w:p>
          <w:p w14:paraId="4047C7CF" w14:textId="77777777" w:rsidR="00CA64BF" w:rsidRDefault="00FA3A2B">
            <w:pPr>
              <w:spacing w:line="276" w:lineRule="auto"/>
              <w:rPr>
                <w:rFonts w:ascii="Roboto" w:eastAsia="Roboto" w:hAnsi="Roboto" w:cs="Roboto"/>
                <w:b/>
              </w:rPr>
            </w:pPr>
            <w:r>
              <w:rPr>
                <w:rFonts w:ascii="Roboto" w:eastAsia="Roboto" w:hAnsi="Roboto" w:cs="Roboto"/>
                <w:b/>
                <w:noProof/>
              </w:rPr>
              <w:drawing>
                <wp:inline distT="114300" distB="114300" distL="114300" distR="114300" wp14:anchorId="742ED776" wp14:editId="440CAFFF">
                  <wp:extent cx="6115050" cy="3441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115050" cy="3441700"/>
                          </a:xfrm>
                          <a:prstGeom prst="rect">
                            <a:avLst/>
                          </a:prstGeom>
                          <a:ln/>
                        </pic:spPr>
                      </pic:pic>
                    </a:graphicData>
                  </a:graphic>
                </wp:inline>
              </w:drawing>
            </w:r>
          </w:p>
          <w:p w14:paraId="1CC92C83" w14:textId="77777777" w:rsidR="00CA64BF" w:rsidRDefault="00CA64BF">
            <w:pPr>
              <w:spacing w:line="276" w:lineRule="auto"/>
              <w:rPr>
                <w:rFonts w:ascii="Roboto" w:eastAsia="Roboto" w:hAnsi="Roboto" w:cs="Roboto"/>
              </w:rPr>
            </w:pPr>
          </w:p>
          <w:p w14:paraId="6CBD6F09" w14:textId="77777777" w:rsidR="00CA64BF" w:rsidRDefault="00CA64BF">
            <w:pPr>
              <w:spacing w:line="276" w:lineRule="auto"/>
              <w:rPr>
                <w:rFonts w:ascii="Roboto" w:eastAsia="Roboto" w:hAnsi="Roboto" w:cs="Roboto"/>
              </w:rPr>
            </w:pPr>
          </w:p>
          <w:p w14:paraId="3A59971E" w14:textId="77777777" w:rsidR="00CA64BF" w:rsidRDefault="00FA3A2B">
            <w:pPr>
              <w:spacing w:line="276" w:lineRule="auto"/>
              <w:rPr>
                <w:rFonts w:ascii="Roboto" w:eastAsia="Roboto" w:hAnsi="Roboto" w:cs="Roboto"/>
                <w:b/>
              </w:rPr>
            </w:pPr>
            <w:r>
              <w:rPr>
                <w:rFonts w:ascii="Roboto" w:eastAsia="Roboto" w:hAnsi="Roboto" w:cs="Roboto"/>
                <w:b/>
              </w:rPr>
              <w:t>Usage of data in accuBook and accuTrack</w:t>
            </w:r>
          </w:p>
          <w:p w14:paraId="1A0734A4" w14:textId="77777777" w:rsidR="00CA64BF" w:rsidRDefault="00FA3A2B">
            <w:pPr>
              <w:spacing w:line="276" w:lineRule="auto"/>
              <w:rPr>
                <w:rFonts w:ascii="Roboto" w:eastAsia="Roboto" w:hAnsi="Roboto" w:cs="Roboto"/>
              </w:rPr>
            </w:pPr>
            <w:r>
              <w:rPr>
                <w:rFonts w:ascii="Roboto" w:eastAsia="Roboto" w:hAnsi="Roboto" w:cs="Roboto"/>
              </w:rPr>
              <w:t>Patient information uploaded to a practice’s accuBook system is used to manage the appointments of patients, through automated SMS invitations with self-serve booking links or manual bookings. Appointments can be made at all clinics to which the inviting organisation is linked.</w:t>
            </w:r>
          </w:p>
          <w:p w14:paraId="217B29C8" w14:textId="77777777" w:rsidR="00CA64BF" w:rsidRDefault="00FA3A2B">
            <w:pPr>
              <w:numPr>
                <w:ilvl w:val="0"/>
                <w:numId w:val="1"/>
              </w:numPr>
              <w:spacing w:line="276" w:lineRule="auto"/>
              <w:rPr>
                <w:rFonts w:ascii="Roboto" w:eastAsia="Roboto" w:hAnsi="Roboto" w:cs="Roboto"/>
              </w:rPr>
            </w:pPr>
            <w:r>
              <w:rPr>
                <w:rFonts w:ascii="Roboto" w:eastAsia="Roboto" w:hAnsi="Roboto" w:cs="Roboto"/>
              </w:rPr>
              <w:t>Information of patients invited by practices</w:t>
            </w:r>
          </w:p>
          <w:p w14:paraId="0CFEABF6" w14:textId="77777777" w:rsidR="00CA64BF" w:rsidRDefault="00FA3A2B">
            <w:pPr>
              <w:numPr>
                <w:ilvl w:val="1"/>
                <w:numId w:val="1"/>
              </w:numPr>
              <w:spacing w:line="276" w:lineRule="auto"/>
              <w:rPr>
                <w:rFonts w:ascii="Roboto" w:eastAsia="Roboto" w:hAnsi="Roboto" w:cs="Roboto"/>
              </w:rPr>
            </w:pPr>
            <w:r>
              <w:rPr>
                <w:rFonts w:ascii="Roboto" w:eastAsia="Roboto" w:hAnsi="Roboto" w:cs="Roboto"/>
              </w:rPr>
              <w:t>can be viewed by accuRx users approved by admins in organisations linked to the same delivery site. This is so bookings can be managed and lists of booked patients viewed.</w:t>
            </w:r>
          </w:p>
          <w:p w14:paraId="2117A8BA" w14:textId="77777777" w:rsidR="00CA64BF" w:rsidRDefault="00FA3A2B">
            <w:pPr>
              <w:numPr>
                <w:ilvl w:val="0"/>
                <w:numId w:val="1"/>
              </w:numPr>
              <w:spacing w:line="276" w:lineRule="auto"/>
              <w:rPr>
                <w:rFonts w:ascii="Roboto" w:eastAsia="Roboto" w:hAnsi="Roboto" w:cs="Roboto"/>
              </w:rPr>
            </w:pPr>
            <w:r>
              <w:rPr>
                <w:rFonts w:ascii="Roboto" w:eastAsia="Roboto" w:hAnsi="Roboto" w:cs="Roboto"/>
              </w:rPr>
              <w:t>The NHS numbers of patients who have a booking in accuBook are extracted nightly and shared with National Immunisation Management Service (NIMS). The NIMS service uses this information to ensure patients do not receive other invitations from the National Booking Service when they are already booked in for an appointment through an organisation using accuBook, reducing the risk of duplicate bookings for the same dose.</w:t>
            </w:r>
          </w:p>
          <w:p w14:paraId="23B0AF6E" w14:textId="77777777" w:rsidR="00CA64BF" w:rsidRDefault="00FA3A2B">
            <w:pPr>
              <w:numPr>
                <w:ilvl w:val="0"/>
                <w:numId w:val="1"/>
              </w:numPr>
              <w:spacing w:line="276" w:lineRule="auto"/>
              <w:rPr>
                <w:rFonts w:ascii="Roboto" w:eastAsia="Roboto" w:hAnsi="Roboto" w:cs="Roboto"/>
              </w:rPr>
            </w:pPr>
            <w:r>
              <w:rPr>
                <w:rFonts w:ascii="Roboto" w:eastAsia="Roboto" w:hAnsi="Roboto" w:cs="Roboto"/>
              </w:rPr>
              <w:t>Vaccine recording and adverse reaction information is extracted nightly to NHS Digital to update the NIMS records for patients who had their vaccination record updated that day.</w:t>
            </w:r>
          </w:p>
          <w:p w14:paraId="4C46C9DB" w14:textId="77777777" w:rsidR="00CA64BF" w:rsidRDefault="00FA3A2B">
            <w:pPr>
              <w:numPr>
                <w:ilvl w:val="0"/>
                <w:numId w:val="1"/>
              </w:numPr>
              <w:spacing w:line="276" w:lineRule="auto"/>
              <w:rPr>
                <w:rFonts w:ascii="Roboto" w:eastAsia="Roboto" w:hAnsi="Roboto" w:cs="Roboto"/>
              </w:rPr>
            </w:pPr>
            <w:r>
              <w:rPr>
                <w:rFonts w:ascii="Roboto" w:eastAsia="Roboto" w:hAnsi="Roboto" w:cs="Roboto"/>
              </w:rPr>
              <w:t>Lead organisations in the accuBook network set up delivery site(s) and clinic times, associating the practices (via ODS code) with a delivery site. Practices then invite their own patients to book in, or trigger invitations to other patients.</w:t>
            </w:r>
          </w:p>
          <w:p w14:paraId="52BAA78E" w14:textId="77777777" w:rsidR="00CA64BF" w:rsidRDefault="00FA3A2B">
            <w:pPr>
              <w:numPr>
                <w:ilvl w:val="0"/>
                <w:numId w:val="1"/>
              </w:numPr>
              <w:spacing w:line="276" w:lineRule="auto"/>
              <w:rPr>
                <w:rFonts w:ascii="Roboto" w:eastAsia="Roboto" w:hAnsi="Roboto" w:cs="Roboto"/>
              </w:rPr>
            </w:pPr>
            <w:r>
              <w:rPr>
                <w:rFonts w:ascii="Roboto" w:eastAsia="Roboto" w:hAnsi="Roboto" w:cs="Roboto"/>
              </w:rPr>
              <w:t>Practices can then view the patients invited in the same network.</w:t>
            </w:r>
          </w:p>
          <w:p w14:paraId="5DBAD9FC" w14:textId="77777777" w:rsidR="00CA64BF" w:rsidRDefault="00FA3A2B">
            <w:pPr>
              <w:numPr>
                <w:ilvl w:val="0"/>
                <w:numId w:val="1"/>
              </w:numPr>
              <w:spacing w:line="276" w:lineRule="auto"/>
              <w:rPr>
                <w:rFonts w:ascii="Roboto" w:eastAsia="Roboto" w:hAnsi="Roboto" w:cs="Roboto"/>
              </w:rPr>
            </w:pPr>
            <w:r>
              <w:rPr>
                <w:rFonts w:ascii="Roboto" w:eastAsia="Roboto" w:hAnsi="Roboto" w:cs="Roboto"/>
              </w:rPr>
              <w:t xml:space="preserve">Admins at practices who are shown the invitation to join a network are told that accepting will mean information about patients they invite will be visible to approved users at other orgs in the network they join. </w:t>
            </w:r>
          </w:p>
          <w:p w14:paraId="64498BDC" w14:textId="77777777" w:rsidR="00CA64BF" w:rsidRDefault="00CA64BF">
            <w:pPr>
              <w:spacing w:line="276" w:lineRule="auto"/>
              <w:rPr>
                <w:rFonts w:ascii="Roboto" w:eastAsia="Roboto" w:hAnsi="Roboto" w:cs="Roboto"/>
              </w:rPr>
            </w:pPr>
          </w:p>
          <w:p w14:paraId="748765AA" w14:textId="77777777" w:rsidR="00CA64BF" w:rsidRDefault="00FA3A2B">
            <w:pPr>
              <w:spacing w:line="276" w:lineRule="auto"/>
              <w:rPr>
                <w:rFonts w:ascii="Roboto" w:eastAsia="Roboto" w:hAnsi="Roboto" w:cs="Roboto"/>
                <w:b/>
              </w:rPr>
            </w:pPr>
            <w:r>
              <w:rPr>
                <w:rFonts w:ascii="Roboto" w:eastAsia="Roboto" w:hAnsi="Roboto" w:cs="Roboto"/>
                <w:b/>
              </w:rPr>
              <w:t>Patient invitations in accuBook</w:t>
            </w:r>
          </w:p>
          <w:p w14:paraId="0954166F" w14:textId="77777777" w:rsidR="00CA64BF" w:rsidRDefault="00FA3A2B">
            <w:pPr>
              <w:spacing w:line="276" w:lineRule="auto"/>
              <w:rPr>
                <w:rFonts w:ascii="Roboto" w:eastAsia="Roboto" w:hAnsi="Roboto" w:cs="Roboto"/>
              </w:rPr>
            </w:pPr>
            <w:r>
              <w:rPr>
                <w:rFonts w:ascii="Roboto" w:eastAsia="Roboto" w:hAnsi="Roboto" w:cs="Roboto"/>
              </w:rPr>
              <w:lastRenderedPageBreak/>
              <w:t>Patients uploaded with valid contact information (mobile phone numbers) can then be sent an SMS.</w:t>
            </w:r>
          </w:p>
          <w:p w14:paraId="79ED548C" w14:textId="77777777" w:rsidR="00CA64BF" w:rsidRDefault="00FA3A2B">
            <w:pPr>
              <w:numPr>
                <w:ilvl w:val="0"/>
                <w:numId w:val="5"/>
              </w:numPr>
              <w:spacing w:line="276" w:lineRule="auto"/>
              <w:rPr>
                <w:rFonts w:ascii="Roboto" w:eastAsia="Roboto" w:hAnsi="Roboto" w:cs="Roboto"/>
              </w:rPr>
            </w:pPr>
            <w:r>
              <w:rPr>
                <w:rFonts w:ascii="Roboto" w:eastAsia="Roboto" w:hAnsi="Roboto" w:cs="Roboto"/>
              </w:rPr>
              <w:t xml:space="preserve">Patients receive an SMS with a unique link through which they can access a secure web form to book in their appointment in the clinics available at a delivery site. </w:t>
            </w:r>
          </w:p>
          <w:p w14:paraId="20D16FDA" w14:textId="77777777" w:rsidR="00CA64BF" w:rsidRDefault="00FA3A2B">
            <w:pPr>
              <w:numPr>
                <w:ilvl w:val="0"/>
                <w:numId w:val="5"/>
              </w:numPr>
              <w:spacing w:line="276" w:lineRule="auto"/>
              <w:rPr>
                <w:rFonts w:ascii="Roboto" w:eastAsia="Roboto" w:hAnsi="Roboto" w:cs="Roboto"/>
              </w:rPr>
            </w:pPr>
            <w:r>
              <w:rPr>
                <w:rFonts w:ascii="Roboto" w:eastAsia="Roboto" w:hAnsi="Roboto" w:cs="Roboto"/>
              </w:rPr>
              <w:t xml:space="preserve">Patients enter their date of birth to verify they are the patient associated with the phone number in their record. </w:t>
            </w:r>
          </w:p>
          <w:p w14:paraId="1DBCD4BD" w14:textId="77777777" w:rsidR="00CA64BF" w:rsidRDefault="00FA3A2B">
            <w:pPr>
              <w:numPr>
                <w:ilvl w:val="0"/>
                <w:numId w:val="5"/>
              </w:numPr>
              <w:spacing w:line="276" w:lineRule="auto"/>
              <w:rPr>
                <w:rFonts w:ascii="Roboto" w:eastAsia="Roboto" w:hAnsi="Roboto" w:cs="Roboto"/>
              </w:rPr>
            </w:pPr>
            <w:r>
              <w:rPr>
                <w:rFonts w:ascii="Roboto" w:eastAsia="Roboto" w:hAnsi="Roboto" w:cs="Roboto"/>
              </w:rPr>
              <w:t>Patients self-book their vaccination appointments.</w:t>
            </w:r>
          </w:p>
          <w:p w14:paraId="703A28A1" w14:textId="77777777" w:rsidR="00CA64BF" w:rsidRDefault="00FA3A2B">
            <w:pPr>
              <w:numPr>
                <w:ilvl w:val="0"/>
                <w:numId w:val="5"/>
              </w:numPr>
              <w:spacing w:line="276" w:lineRule="auto"/>
              <w:rPr>
                <w:rFonts w:ascii="Roboto" w:eastAsia="Roboto" w:hAnsi="Roboto" w:cs="Roboto"/>
              </w:rPr>
            </w:pPr>
            <w:r>
              <w:rPr>
                <w:rFonts w:ascii="Roboto" w:eastAsia="Roboto" w:hAnsi="Roboto" w:cs="Roboto"/>
              </w:rPr>
              <w:t>Patients receive reminders and automatic call/recall via SMS for the course of vaccinations.</w:t>
            </w:r>
          </w:p>
          <w:p w14:paraId="02359DC1" w14:textId="77777777" w:rsidR="00CA64BF" w:rsidRDefault="00FA3A2B">
            <w:pPr>
              <w:numPr>
                <w:ilvl w:val="0"/>
                <w:numId w:val="5"/>
              </w:numPr>
              <w:spacing w:line="276" w:lineRule="auto"/>
              <w:rPr>
                <w:rFonts w:ascii="Roboto" w:eastAsia="Roboto" w:hAnsi="Roboto" w:cs="Roboto"/>
              </w:rPr>
            </w:pPr>
            <w:r>
              <w:rPr>
                <w:rFonts w:ascii="Roboto" w:eastAsia="Roboto" w:hAnsi="Roboto" w:cs="Roboto"/>
              </w:rPr>
              <w:t>Practice users can manually book in patients who can not receive this message.</w:t>
            </w:r>
          </w:p>
          <w:p w14:paraId="5DF1B2ED" w14:textId="77777777" w:rsidR="00CA64BF" w:rsidRDefault="00CA64BF">
            <w:pPr>
              <w:spacing w:line="276" w:lineRule="auto"/>
              <w:rPr>
                <w:rFonts w:ascii="Roboto" w:eastAsia="Roboto" w:hAnsi="Roboto" w:cs="Roboto"/>
              </w:rPr>
            </w:pPr>
          </w:p>
          <w:p w14:paraId="1C6A28AF" w14:textId="77777777" w:rsidR="00CA64BF" w:rsidRDefault="00FA3A2B">
            <w:pPr>
              <w:spacing w:line="276" w:lineRule="auto"/>
              <w:rPr>
                <w:rFonts w:ascii="Roboto" w:eastAsia="Roboto" w:hAnsi="Roboto" w:cs="Roboto"/>
                <w:b/>
                <w:highlight w:val="yellow"/>
              </w:rPr>
            </w:pPr>
            <w:r>
              <w:rPr>
                <w:rFonts w:ascii="Roboto" w:eastAsia="Roboto" w:hAnsi="Roboto" w:cs="Roboto"/>
                <w:b/>
              </w:rPr>
              <w:t>accuTrack Recording solution</w:t>
            </w:r>
          </w:p>
          <w:p w14:paraId="2FA79259" w14:textId="77777777" w:rsidR="00CA64BF" w:rsidRDefault="00FA3A2B">
            <w:pPr>
              <w:spacing w:line="276" w:lineRule="auto"/>
              <w:rPr>
                <w:rFonts w:ascii="Roboto" w:eastAsia="Roboto" w:hAnsi="Roboto" w:cs="Roboto"/>
              </w:rPr>
            </w:pPr>
            <w:r>
              <w:rPr>
                <w:rFonts w:ascii="Roboto" w:eastAsia="Roboto" w:hAnsi="Roboto" w:cs="Roboto"/>
              </w:rPr>
              <w:t>Approved users can view a treatment screen for each patient booked in for a clinic in the networks they are part of. The data a user can view about patients is limited to what is necessary to administer the vaccine safely. They can currently view data about patients shared from other organisations working in the accuBook network. Like any way to create records of patient information, users should be trained to only access this page when necessary. That should only be when they are required to make this recording on behalf of a vaccinator.</w:t>
            </w:r>
          </w:p>
          <w:p w14:paraId="4AA632D4" w14:textId="77777777" w:rsidR="00CA64BF" w:rsidRDefault="00CA64BF">
            <w:pPr>
              <w:spacing w:line="276" w:lineRule="auto"/>
              <w:rPr>
                <w:rFonts w:ascii="Roboto" w:eastAsia="Roboto" w:hAnsi="Roboto" w:cs="Roboto"/>
              </w:rPr>
            </w:pPr>
          </w:p>
          <w:p w14:paraId="64F8C854" w14:textId="77777777" w:rsidR="00CA64BF" w:rsidRDefault="00FA3A2B">
            <w:pPr>
              <w:numPr>
                <w:ilvl w:val="0"/>
                <w:numId w:val="2"/>
              </w:numPr>
              <w:spacing w:line="276" w:lineRule="auto"/>
              <w:rPr>
                <w:rFonts w:ascii="Roboto" w:eastAsia="Roboto" w:hAnsi="Roboto" w:cs="Roboto"/>
              </w:rPr>
            </w:pPr>
            <w:r>
              <w:rPr>
                <w:rFonts w:ascii="Roboto" w:eastAsia="Roboto" w:hAnsi="Roboto" w:cs="Roboto"/>
              </w:rPr>
              <w:t xml:space="preserve">Patients are listed against their booked appointment slots, with name, NHS number, DOB and gender. </w:t>
            </w:r>
          </w:p>
          <w:p w14:paraId="372A2C23" w14:textId="77777777" w:rsidR="00CA64BF" w:rsidRDefault="00FA3A2B">
            <w:pPr>
              <w:numPr>
                <w:ilvl w:val="0"/>
                <w:numId w:val="2"/>
              </w:numPr>
              <w:spacing w:line="276" w:lineRule="auto"/>
              <w:rPr>
                <w:rFonts w:ascii="Roboto" w:eastAsia="Roboto" w:hAnsi="Roboto" w:cs="Roboto"/>
              </w:rPr>
            </w:pPr>
            <w:r>
              <w:rPr>
                <w:rFonts w:ascii="Roboto" w:eastAsia="Roboto" w:hAnsi="Roboto" w:cs="Roboto"/>
              </w:rPr>
              <w:t>Patients can be marked as arrived and a ‘treatment screen’ can be navigated to.</w:t>
            </w:r>
          </w:p>
          <w:p w14:paraId="67EC0A96" w14:textId="77777777" w:rsidR="00CA64BF" w:rsidRDefault="00FA3A2B">
            <w:pPr>
              <w:numPr>
                <w:ilvl w:val="0"/>
                <w:numId w:val="2"/>
              </w:numPr>
              <w:spacing w:line="276" w:lineRule="auto"/>
              <w:rPr>
                <w:rFonts w:ascii="Roboto" w:eastAsia="Roboto" w:hAnsi="Roboto" w:cs="Roboto"/>
              </w:rPr>
            </w:pPr>
            <w:r>
              <w:rPr>
                <w:rFonts w:ascii="Roboto" w:eastAsia="Roboto" w:hAnsi="Roboto" w:cs="Roboto"/>
              </w:rPr>
              <w:t>Treatment screen displays the vaccination history information of a patient retrieved from NIMS.</w:t>
            </w:r>
          </w:p>
          <w:p w14:paraId="655F0E75" w14:textId="77777777" w:rsidR="00CA64BF" w:rsidRDefault="00FA3A2B">
            <w:pPr>
              <w:numPr>
                <w:ilvl w:val="0"/>
                <w:numId w:val="2"/>
              </w:numPr>
              <w:spacing w:line="276" w:lineRule="auto"/>
              <w:rPr>
                <w:rFonts w:ascii="Roboto" w:eastAsia="Roboto" w:hAnsi="Roboto" w:cs="Roboto"/>
              </w:rPr>
            </w:pPr>
            <w:r>
              <w:rPr>
                <w:rFonts w:ascii="Roboto" w:eastAsia="Roboto" w:hAnsi="Roboto" w:cs="Roboto"/>
              </w:rPr>
              <w:t>Treatment screen is used for data capture by accuRx users. For each patient, a structured treatment record is created in line with NHS Digital Covid-19 vaccine solution spec for the vaccination data extract. This includes:</w:t>
            </w:r>
          </w:p>
          <w:p w14:paraId="0ABA82E9" w14:textId="77777777" w:rsidR="00CA64BF" w:rsidRDefault="00FA3A2B">
            <w:pPr>
              <w:numPr>
                <w:ilvl w:val="1"/>
                <w:numId w:val="2"/>
              </w:numPr>
              <w:spacing w:line="276" w:lineRule="auto"/>
              <w:rPr>
                <w:rFonts w:ascii="Roboto" w:eastAsia="Roboto" w:hAnsi="Roboto" w:cs="Roboto"/>
              </w:rPr>
            </w:pPr>
            <w:r>
              <w:rPr>
                <w:rFonts w:ascii="Roboto" w:eastAsia="Roboto" w:hAnsi="Roboto" w:cs="Roboto"/>
              </w:rPr>
              <w:t>Covid-19 vaccine received, along with batch number</w:t>
            </w:r>
          </w:p>
          <w:p w14:paraId="303CE768" w14:textId="77777777" w:rsidR="00CA64BF" w:rsidRDefault="00FA3A2B">
            <w:pPr>
              <w:numPr>
                <w:ilvl w:val="1"/>
                <w:numId w:val="2"/>
              </w:numPr>
              <w:spacing w:line="276" w:lineRule="auto"/>
              <w:rPr>
                <w:rFonts w:ascii="Roboto" w:eastAsia="Roboto" w:hAnsi="Roboto" w:cs="Roboto"/>
              </w:rPr>
            </w:pPr>
            <w:r>
              <w:rPr>
                <w:rFonts w:ascii="Roboto" w:eastAsia="Roboto" w:hAnsi="Roboto" w:cs="Roboto"/>
              </w:rPr>
              <w:t>Which dose in course of treatment</w:t>
            </w:r>
          </w:p>
          <w:p w14:paraId="2B86548D" w14:textId="77777777" w:rsidR="00CA64BF" w:rsidRDefault="00FA3A2B">
            <w:pPr>
              <w:numPr>
                <w:ilvl w:val="1"/>
                <w:numId w:val="2"/>
              </w:numPr>
              <w:spacing w:line="276" w:lineRule="auto"/>
              <w:rPr>
                <w:rFonts w:ascii="Roboto" w:eastAsia="Roboto" w:hAnsi="Roboto" w:cs="Roboto"/>
              </w:rPr>
            </w:pPr>
            <w:r>
              <w:rPr>
                <w:rFonts w:ascii="Roboto" w:eastAsia="Roboto" w:hAnsi="Roboto" w:cs="Roboto"/>
              </w:rPr>
              <w:t>Status of patient consent to the vaccination</w:t>
            </w:r>
          </w:p>
          <w:p w14:paraId="5B6681E8" w14:textId="77777777" w:rsidR="00CA64BF" w:rsidRDefault="00FA3A2B">
            <w:pPr>
              <w:numPr>
                <w:ilvl w:val="1"/>
                <w:numId w:val="2"/>
              </w:numPr>
              <w:spacing w:line="276" w:lineRule="auto"/>
              <w:rPr>
                <w:rFonts w:ascii="Roboto" w:eastAsia="Roboto" w:hAnsi="Roboto" w:cs="Roboto"/>
              </w:rPr>
            </w:pPr>
            <w:r>
              <w:rPr>
                <w:rFonts w:ascii="Roboto" w:eastAsia="Roboto" w:hAnsi="Roboto" w:cs="Roboto"/>
              </w:rPr>
              <w:t>Injection site</w:t>
            </w:r>
          </w:p>
          <w:p w14:paraId="06929593" w14:textId="77777777" w:rsidR="00CA64BF" w:rsidRDefault="00FA3A2B">
            <w:pPr>
              <w:numPr>
                <w:ilvl w:val="1"/>
                <w:numId w:val="2"/>
              </w:numPr>
              <w:spacing w:line="276" w:lineRule="auto"/>
              <w:rPr>
                <w:rFonts w:ascii="Roboto" w:eastAsia="Roboto" w:hAnsi="Roboto" w:cs="Roboto"/>
              </w:rPr>
            </w:pPr>
            <w:r>
              <w:rPr>
                <w:rFonts w:ascii="Roboto" w:eastAsia="Roboto" w:hAnsi="Roboto" w:cs="Roboto"/>
              </w:rPr>
              <w:t>Vaccinating member of staff</w:t>
            </w:r>
          </w:p>
          <w:p w14:paraId="4080D848" w14:textId="77777777" w:rsidR="00CA64BF" w:rsidRDefault="00FA3A2B">
            <w:pPr>
              <w:numPr>
                <w:ilvl w:val="1"/>
                <w:numId w:val="2"/>
              </w:numPr>
              <w:spacing w:line="276" w:lineRule="auto"/>
              <w:rPr>
                <w:rFonts w:ascii="Roboto" w:eastAsia="Roboto" w:hAnsi="Roboto" w:cs="Roboto"/>
              </w:rPr>
            </w:pPr>
            <w:r>
              <w:rPr>
                <w:rFonts w:ascii="Roboto" w:eastAsia="Roboto" w:hAnsi="Roboto" w:cs="Roboto"/>
              </w:rPr>
              <w:t>Results of treatment screening questions</w:t>
            </w:r>
          </w:p>
          <w:p w14:paraId="29F61E9F" w14:textId="77777777" w:rsidR="00CA64BF" w:rsidRDefault="00FA3A2B">
            <w:pPr>
              <w:numPr>
                <w:ilvl w:val="1"/>
                <w:numId w:val="2"/>
              </w:numPr>
              <w:spacing w:line="276" w:lineRule="auto"/>
              <w:rPr>
                <w:rFonts w:ascii="Roboto" w:eastAsia="Roboto" w:hAnsi="Roboto" w:cs="Roboto"/>
              </w:rPr>
            </w:pPr>
            <w:r>
              <w:rPr>
                <w:rFonts w:ascii="Roboto" w:eastAsia="Roboto" w:hAnsi="Roboto" w:cs="Roboto"/>
              </w:rPr>
              <w:t>Notes made in free-text by staff member.</w:t>
            </w:r>
          </w:p>
          <w:p w14:paraId="620172C8" w14:textId="77777777" w:rsidR="00CA64BF" w:rsidRDefault="00FA3A2B">
            <w:pPr>
              <w:numPr>
                <w:ilvl w:val="1"/>
                <w:numId w:val="2"/>
              </w:numPr>
              <w:spacing w:line="276" w:lineRule="auto"/>
              <w:rPr>
                <w:rFonts w:ascii="Roboto" w:eastAsia="Roboto" w:hAnsi="Roboto" w:cs="Roboto"/>
              </w:rPr>
            </w:pPr>
            <w:r>
              <w:rPr>
                <w:rFonts w:ascii="Roboto" w:eastAsia="Roboto" w:hAnsi="Roboto" w:cs="Roboto"/>
              </w:rPr>
              <w:t>Individual adverse reactions.</w:t>
            </w:r>
          </w:p>
          <w:p w14:paraId="6C9D4542" w14:textId="77777777" w:rsidR="00CA64BF" w:rsidRDefault="00FA3A2B">
            <w:pPr>
              <w:numPr>
                <w:ilvl w:val="0"/>
                <w:numId w:val="2"/>
              </w:numPr>
              <w:spacing w:line="276" w:lineRule="auto"/>
              <w:rPr>
                <w:rFonts w:ascii="Roboto" w:eastAsia="Roboto" w:hAnsi="Roboto" w:cs="Roboto"/>
              </w:rPr>
            </w:pPr>
            <w:r>
              <w:rPr>
                <w:rFonts w:ascii="Roboto" w:eastAsia="Roboto" w:hAnsi="Roboto" w:cs="Roboto"/>
              </w:rPr>
              <w:t>The vaccination record will be saved back to the individual patient’s record in their GP practice’s clinical IT system (EMIS/TPP) in a standardised form.</w:t>
            </w:r>
          </w:p>
          <w:p w14:paraId="6876F6AD" w14:textId="4E6750F0" w:rsidR="00CA64BF" w:rsidRDefault="00FA3A2B">
            <w:pPr>
              <w:numPr>
                <w:ilvl w:val="0"/>
                <w:numId w:val="2"/>
              </w:numPr>
              <w:spacing w:line="276" w:lineRule="auto"/>
              <w:rPr>
                <w:rFonts w:ascii="Roboto" w:eastAsia="Roboto" w:hAnsi="Roboto" w:cs="Roboto"/>
              </w:rPr>
            </w:pPr>
            <w:r>
              <w:rPr>
                <w:rFonts w:ascii="Roboto" w:eastAsia="Roboto" w:hAnsi="Roboto" w:cs="Roboto"/>
              </w:rPr>
              <w:t>Practices are expected to provide daily data extracts on vaccination events recorded in an approved delivery site. These are due to be provided nightly to NHS Digital,</w:t>
            </w:r>
            <w:r w:rsidR="00C56035">
              <w:rPr>
                <w:rFonts w:ascii="Roboto" w:eastAsia="Roboto" w:hAnsi="Roboto" w:cs="Roboto"/>
              </w:rPr>
              <w:t xml:space="preserve"> </w:t>
            </w:r>
            <w:r>
              <w:rPr>
                <w:rFonts w:ascii="Roboto" w:eastAsia="Roboto" w:hAnsi="Roboto" w:cs="Roboto"/>
              </w:rPr>
              <w:t>but will eventually become an hourly update. This will include personally identifiable data shared to the National Immunisation Management Service (NIMS), and also individual level data about vaccinated patients to ensure that the practice is paid for their successfully vaccinated patients.</w:t>
            </w:r>
          </w:p>
          <w:p w14:paraId="36E234DF" w14:textId="77777777" w:rsidR="00CA64BF" w:rsidRDefault="00CA64BF">
            <w:pPr>
              <w:spacing w:line="276" w:lineRule="auto"/>
              <w:rPr>
                <w:rFonts w:ascii="Roboto" w:eastAsia="Roboto" w:hAnsi="Roboto" w:cs="Roboto"/>
              </w:rPr>
            </w:pPr>
          </w:p>
        </w:tc>
      </w:tr>
    </w:tbl>
    <w:p w14:paraId="3D32A372" w14:textId="77777777" w:rsidR="00CA64BF" w:rsidRDefault="00CA64BF">
      <w:pPr>
        <w:rPr>
          <w:rFonts w:ascii="Roboto" w:eastAsia="Roboto" w:hAnsi="Roboto" w:cs="Roboto"/>
          <w:sz w:val="24"/>
          <w:szCs w:val="24"/>
        </w:rPr>
      </w:pPr>
    </w:p>
    <w:p w14:paraId="5AB51ED5" w14:textId="77777777" w:rsidR="00CA64BF" w:rsidRDefault="00CA64BF">
      <w:pPr>
        <w:rPr>
          <w:rFonts w:ascii="Roboto" w:eastAsia="Roboto" w:hAnsi="Roboto" w:cs="Roboto"/>
          <w:sz w:val="24"/>
          <w:szCs w:val="24"/>
        </w:rPr>
      </w:pPr>
    </w:p>
    <w:tbl>
      <w:tblPr>
        <w:tblStyle w:val="a2"/>
        <w:tblW w:w="984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CA64BF" w14:paraId="6EA9BEF1" w14:textId="77777777">
        <w:tc>
          <w:tcPr>
            <w:tcW w:w="9840" w:type="dxa"/>
          </w:tcPr>
          <w:p w14:paraId="716CCA16" w14:textId="77777777" w:rsidR="00CA64BF" w:rsidRDefault="00CA64BF">
            <w:pPr>
              <w:rPr>
                <w:rFonts w:ascii="Roboto" w:eastAsia="Roboto" w:hAnsi="Roboto" w:cs="Roboto"/>
                <w:b/>
                <w:color w:val="002060"/>
              </w:rPr>
            </w:pPr>
          </w:p>
          <w:p w14:paraId="75919FBB" w14:textId="77777777" w:rsidR="00CA64BF" w:rsidRDefault="00FA3A2B">
            <w:pPr>
              <w:spacing w:line="276" w:lineRule="auto"/>
              <w:rPr>
                <w:rFonts w:ascii="Roboto" w:eastAsia="Roboto" w:hAnsi="Roboto" w:cs="Roboto"/>
                <w:color w:val="002060"/>
              </w:rPr>
            </w:pPr>
            <w:r>
              <w:rPr>
                <w:rFonts w:ascii="Roboto" w:eastAsia="Roboto" w:hAnsi="Roboto" w:cs="Roboto"/>
                <w:b/>
                <w:color w:val="666666"/>
              </w:rPr>
              <w:t xml:space="preserve">Describe the scope of the processing: </w:t>
            </w:r>
            <w:r>
              <w:rPr>
                <w:rFonts w:ascii="Roboto" w:eastAsia="Roboto" w:hAnsi="Roboto" w:cs="Roboto"/>
                <w:color w:val="666666"/>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CA64BF" w14:paraId="69842958" w14:textId="77777777">
        <w:trPr>
          <w:trHeight w:val="4290"/>
        </w:trPr>
        <w:tc>
          <w:tcPr>
            <w:tcW w:w="9840" w:type="dxa"/>
          </w:tcPr>
          <w:p w14:paraId="010F270E" w14:textId="77777777" w:rsidR="00CA64BF" w:rsidRDefault="00FA3A2B">
            <w:pPr>
              <w:spacing w:line="276" w:lineRule="auto"/>
              <w:rPr>
                <w:rFonts w:ascii="Roboto" w:eastAsia="Roboto" w:hAnsi="Roboto" w:cs="Roboto"/>
              </w:rPr>
            </w:pPr>
            <w:r>
              <w:rPr>
                <w:rFonts w:ascii="Roboto" w:eastAsia="Roboto" w:hAnsi="Roboto" w:cs="Roboto"/>
              </w:rPr>
              <w:t xml:space="preserve">The data processed in accuBook all relates to the health or health care of an individual; it is therefore considered special category data. </w:t>
            </w:r>
          </w:p>
          <w:p w14:paraId="3D59EF2C" w14:textId="77777777" w:rsidR="00CA64BF" w:rsidRDefault="00CA64BF">
            <w:pPr>
              <w:spacing w:line="276" w:lineRule="auto"/>
              <w:rPr>
                <w:rFonts w:ascii="Roboto" w:eastAsia="Roboto" w:hAnsi="Roboto" w:cs="Roboto"/>
              </w:rPr>
            </w:pPr>
          </w:p>
          <w:p w14:paraId="3E392F78" w14:textId="77777777" w:rsidR="00CA64BF" w:rsidRDefault="00FA3A2B">
            <w:pPr>
              <w:spacing w:line="276" w:lineRule="auto"/>
              <w:rPr>
                <w:rFonts w:ascii="Roboto" w:eastAsia="Roboto" w:hAnsi="Roboto" w:cs="Roboto"/>
                <w:b/>
              </w:rPr>
            </w:pPr>
            <w:r>
              <w:rPr>
                <w:rFonts w:ascii="Roboto" w:eastAsia="Roboto" w:hAnsi="Roboto" w:cs="Roboto"/>
                <w:b/>
              </w:rPr>
              <w:t>Data sources in accuBook and accuTrack</w:t>
            </w:r>
          </w:p>
          <w:p w14:paraId="32DEF4A6" w14:textId="77777777" w:rsidR="00CA64BF" w:rsidRDefault="00FA3A2B">
            <w:pPr>
              <w:spacing w:line="276" w:lineRule="auto"/>
              <w:rPr>
                <w:rFonts w:ascii="Roboto" w:eastAsia="Roboto" w:hAnsi="Roboto" w:cs="Roboto"/>
              </w:rPr>
            </w:pPr>
            <w:r>
              <w:rPr>
                <w:rFonts w:ascii="Roboto" w:eastAsia="Roboto" w:hAnsi="Roboto" w:cs="Roboto"/>
              </w:rPr>
              <w:t>Data is provided by the providers into accuBook in three routes:</w:t>
            </w:r>
          </w:p>
          <w:p w14:paraId="2E5C46EB" w14:textId="77777777" w:rsidR="00CA64BF" w:rsidRDefault="00FA3A2B">
            <w:pPr>
              <w:numPr>
                <w:ilvl w:val="0"/>
                <w:numId w:val="6"/>
              </w:numPr>
              <w:spacing w:line="276" w:lineRule="auto"/>
              <w:rPr>
                <w:rFonts w:ascii="Roboto" w:eastAsia="Roboto" w:hAnsi="Roboto" w:cs="Roboto"/>
              </w:rPr>
            </w:pPr>
            <w:r>
              <w:rPr>
                <w:rFonts w:ascii="Roboto" w:eastAsia="Roboto" w:hAnsi="Roboto" w:cs="Roboto"/>
              </w:rPr>
              <w:t xml:space="preserve">Organisations using accuBook and accuTrack </w:t>
            </w:r>
            <w:r>
              <w:rPr>
                <w:rFonts w:ascii="Roboto" w:eastAsia="Roboto" w:hAnsi="Roboto" w:cs="Roboto"/>
                <w:b/>
              </w:rPr>
              <w:t>upload lists</w:t>
            </w:r>
            <w:r>
              <w:rPr>
                <w:rFonts w:ascii="Roboto" w:eastAsia="Roboto" w:hAnsi="Roboto" w:cs="Roboto"/>
              </w:rPr>
              <w:t xml:space="preserve"> of patients in the form of a CSV spreadsheet. These lists can come from any source, but are usually extracted from the practice’s own clinical system. They contain:</w:t>
            </w:r>
          </w:p>
          <w:p w14:paraId="25196B35"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First and last name</w:t>
            </w:r>
          </w:p>
          <w:p w14:paraId="5B328ED1"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Date of Birth (DOB)</w:t>
            </w:r>
          </w:p>
          <w:p w14:paraId="3D9DDB77"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NHS number</w:t>
            </w:r>
          </w:p>
          <w:p w14:paraId="6BF94184"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Contact phone number</w:t>
            </w:r>
          </w:p>
          <w:p w14:paraId="54534443" w14:textId="77777777" w:rsidR="00CA64BF" w:rsidRDefault="00FA3A2B">
            <w:pPr>
              <w:numPr>
                <w:ilvl w:val="0"/>
                <w:numId w:val="6"/>
              </w:numPr>
              <w:spacing w:line="276" w:lineRule="auto"/>
              <w:rPr>
                <w:rFonts w:ascii="Roboto" w:eastAsia="Roboto" w:hAnsi="Roboto" w:cs="Roboto"/>
              </w:rPr>
            </w:pPr>
            <w:r>
              <w:rPr>
                <w:rFonts w:ascii="Roboto" w:eastAsia="Roboto" w:hAnsi="Roboto" w:cs="Roboto"/>
              </w:rPr>
              <w:t xml:space="preserve">Individual patient search can also be used to add a patient. Users of accuBook can perform </w:t>
            </w:r>
            <w:r>
              <w:rPr>
                <w:rFonts w:ascii="Roboto" w:eastAsia="Roboto" w:hAnsi="Roboto" w:cs="Roboto"/>
                <w:b/>
              </w:rPr>
              <w:t>searches of the Personal Demographics Service (PDS)</w:t>
            </w:r>
            <w:r>
              <w:rPr>
                <w:rFonts w:ascii="Roboto" w:eastAsia="Roboto" w:hAnsi="Roboto" w:cs="Roboto"/>
              </w:rPr>
              <w:t xml:space="preserve"> using NHS number and DOB OR a set of demographic information (name, DOB, gender, postcode). If an exact match is returned and the information available, that person’s details are copied into the list, with the same data items as above. </w:t>
            </w:r>
          </w:p>
          <w:p w14:paraId="196E99FB"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 xml:space="preserve">Some patients’ entries on the PDS, or parts of them, are </w:t>
            </w:r>
            <w:hyperlink r:id="rId14">
              <w:r>
                <w:rPr>
                  <w:rFonts w:ascii="Roboto" w:eastAsia="Roboto" w:hAnsi="Roboto" w:cs="Roboto"/>
                  <w:color w:val="1155CC"/>
                  <w:u w:val="single"/>
                </w:rPr>
                <w:t>marked with a ‘sensitive’ flag</w:t>
              </w:r>
            </w:hyperlink>
            <w:r>
              <w:rPr>
                <w:rFonts w:ascii="Roboto" w:eastAsia="Roboto" w:hAnsi="Roboto" w:cs="Roboto"/>
              </w:rPr>
              <w:t>. When search terms provided to the search function in accuBook and the API call made, no data is returned to accuRx about flagged records, or flagged parts of them.</w:t>
            </w:r>
          </w:p>
          <w:p w14:paraId="4315EB47"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 xml:space="preserve">The </w:t>
            </w:r>
            <w:hyperlink r:id="rId15">
              <w:r>
                <w:rPr>
                  <w:rFonts w:ascii="Roboto" w:eastAsia="Roboto" w:hAnsi="Roboto" w:cs="Roboto"/>
                  <w:color w:val="1155CC"/>
                  <w:u w:val="single"/>
                </w:rPr>
                <w:t>acceptable use</w:t>
              </w:r>
            </w:hyperlink>
            <w:r>
              <w:rPr>
                <w:rFonts w:ascii="Roboto" w:eastAsia="Roboto" w:hAnsi="Roboto" w:cs="Roboto"/>
              </w:rPr>
              <w:t xml:space="preserve"> of this feature is set out here. [The organisation completing this DPIA should ensure that all users of accuBook and accuTrack are aware of the parameters of this feature’s use, which are within the overall purpose of managing and recording Covid-19 vaccinations]. </w:t>
            </w:r>
          </w:p>
          <w:p w14:paraId="3AEFEC5E" w14:textId="77777777" w:rsidR="00CA64BF" w:rsidRDefault="00FA3A2B">
            <w:pPr>
              <w:numPr>
                <w:ilvl w:val="0"/>
                <w:numId w:val="6"/>
              </w:numPr>
              <w:spacing w:line="276" w:lineRule="auto"/>
              <w:rPr>
                <w:rFonts w:ascii="Roboto" w:eastAsia="Roboto" w:hAnsi="Roboto" w:cs="Roboto"/>
              </w:rPr>
            </w:pPr>
            <w:r>
              <w:rPr>
                <w:rFonts w:ascii="Roboto" w:eastAsia="Roboto" w:hAnsi="Roboto" w:cs="Roboto"/>
              </w:rPr>
              <w:t xml:space="preserve">Patients already uploaded into accuBook will have the following vaccination events retrieved from the </w:t>
            </w:r>
            <w:hyperlink r:id="rId16">
              <w:r>
                <w:rPr>
                  <w:rFonts w:ascii="Roboto" w:eastAsia="Roboto" w:hAnsi="Roboto" w:cs="Roboto"/>
                  <w:b/>
                  <w:color w:val="1155CC"/>
                  <w:u w:val="single"/>
                </w:rPr>
                <w:t>National Immunisation Management Service</w:t>
              </w:r>
            </w:hyperlink>
            <w:r>
              <w:rPr>
                <w:rFonts w:ascii="Roboto" w:eastAsia="Roboto" w:hAnsi="Roboto" w:cs="Roboto"/>
              </w:rPr>
              <w:t>:</w:t>
            </w:r>
          </w:p>
          <w:p w14:paraId="214BA95E"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Dates of patient’s first and second Covid vaccinations</w:t>
            </w:r>
          </w:p>
          <w:p w14:paraId="6EAD3F1B"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The specific product type of Covid vaccination product received (i.e. the product corresponding to ‘Pfizer’ or ‘AstraZeneca’ vaccine).</w:t>
            </w:r>
          </w:p>
          <w:p w14:paraId="075AE559" w14:textId="77777777" w:rsidR="00CA64BF" w:rsidRDefault="00FA3A2B">
            <w:pPr>
              <w:numPr>
                <w:ilvl w:val="1"/>
                <w:numId w:val="6"/>
              </w:numPr>
              <w:spacing w:line="276" w:lineRule="auto"/>
              <w:rPr>
                <w:rFonts w:ascii="Roboto" w:eastAsia="Roboto" w:hAnsi="Roboto" w:cs="Roboto"/>
              </w:rPr>
            </w:pPr>
            <w:r>
              <w:rPr>
                <w:rFonts w:ascii="Roboto" w:eastAsia="Roboto" w:hAnsi="Roboto" w:cs="Roboto"/>
              </w:rPr>
              <w:t>Flu vaccination date</w:t>
            </w:r>
          </w:p>
          <w:p w14:paraId="451D4898" w14:textId="77777777" w:rsidR="00CA64BF" w:rsidRDefault="00CA64BF">
            <w:pPr>
              <w:spacing w:line="276" w:lineRule="auto"/>
              <w:rPr>
                <w:rFonts w:ascii="Roboto" w:eastAsia="Roboto" w:hAnsi="Roboto" w:cs="Roboto"/>
                <w:b/>
              </w:rPr>
            </w:pPr>
          </w:p>
          <w:p w14:paraId="0F76D114" w14:textId="77777777" w:rsidR="00CA64BF" w:rsidRDefault="00CA64BF">
            <w:pPr>
              <w:spacing w:line="276" w:lineRule="auto"/>
              <w:rPr>
                <w:rFonts w:ascii="Roboto" w:eastAsia="Roboto" w:hAnsi="Roboto" w:cs="Roboto"/>
                <w:b/>
              </w:rPr>
            </w:pPr>
          </w:p>
          <w:p w14:paraId="5C3FA848" w14:textId="77777777" w:rsidR="00CA64BF" w:rsidRDefault="00FA3A2B">
            <w:pPr>
              <w:widowControl w:val="0"/>
              <w:ind w:right="118"/>
              <w:jc w:val="both"/>
              <w:rPr>
                <w:rFonts w:ascii="Arial" w:eastAsia="Arial" w:hAnsi="Arial" w:cs="Arial"/>
              </w:rPr>
            </w:pPr>
            <w:r>
              <w:rPr>
                <w:rFonts w:ascii="Arial" w:eastAsia="Arial" w:hAnsi="Arial" w:cs="Arial"/>
              </w:rPr>
              <w:t>The individual-level patient data processed in the booking solution is limited to:</w:t>
            </w:r>
          </w:p>
          <w:p w14:paraId="1127BEF5" w14:textId="77777777" w:rsidR="00CA64BF" w:rsidRDefault="00FA3A2B">
            <w:pPr>
              <w:widowControl w:val="0"/>
              <w:numPr>
                <w:ilvl w:val="0"/>
                <w:numId w:val="4"/>
              </w:numPr>
              <w:ind w:right="118"/>
              <w:jc w:val="both"/>
              <w:rPr>
                <w:rFonts w:ascii="Arial" w:eastAsia="Arial" w:hAnsi="Arial" w:cs="Arial"/>
              </w:rPr>
            </w:pPr>
            <w:r>
              <w:rPr>
                <w:rFonts w:ascii="Arial" w:eastAsia="Arial" w:hAnsi="Arial" w:cs="Arial"/>
                <w:b/>
              </w:rPr>
              <w:t>Demographic and contact data</w:t>
            </w:r>
            <w:r>
              <w:rPr>
                <w:rFonts w:ascii="Arial" w:eastAsia="Arial" w:hAnsi="Arial" w:cs="Arial"/>
              </w:rPr>
              <w:t xml:space="preserve"> (typically name, identifiers, contact details [mobile], demographic data [DoB; gender])</w:t>
            </w:r>
          </w:p>
          <w:p w14:paraId="3CD56697" w14:textId="77777777" w:rsidR="00CA64BF" w:rsidRDefault="00FA3A2B">
            <w:pPr>
              <w:widowControl w:val="0"/>
              <w:numPr>
                <w:ilvl w:val="0"/>
                <w:numId w:val="4"/>
              </w:numPr>
              <w:ind w:right="118"/>
              <w:jc w:val="both"/>
              <w:rPr>
                <w:rFonts w:ascii="Arial" w:eastAsia="Arial" w:hAnsi="Arial" w:cs="Arial"/>
              </w:rPr>
            </w:pPr>
            <w:r>
              <w:rPr>
                <w:rFonts w:ascii="Arial" w:eastAsia="Arial" w:hAnsi="Arial" w:cs="Arial"/>
                <w:b/>
              </w:rPr>
              <w:t>Message content</w:t>
            </w:r>
            <w:r>
              <w:rPr>
                <w:rFonts w:ascii="Arial" w:eastAsia="Arial" w:hAnsi="Arial" w:cs="Arial"/>
              </w:rPr>
              <w:t xml:space="preserve"> and </w:t>
            </w:r>
            <w:r>
              <w:rPr>
                <w:rFonts w:ascii="Arial" w:eastAsia="Arial" w:hAnsi="Arial" w:cs="Arial"/>
                <w:b/>
              </w:rPr>
              <w:t xml:space="preserve">vaccination appointment booking information </w:t>
            </w:r>
            <w:r>
              <w:rPr>
                <w:rFonts w:ascii="Arial" w:eastAsia="Arial" w:hAnsi="Arial" w:cs="Arial"/>
              </w:rPr>
              <w:t>(time/date, invite and booking status, booking notes, and arrival status)</w:t>
            </w:r>
          </w:p>
          <w:p w14:paraId="61CD816D" w14:textId="77777777" w:rsidR="00CA64BF" w:rsidRDefault="00FA3A2B">
            <w:pPr>
              <w:widowControl w:val="0"/>
              <w:numPr>
                <w:ilvl w:val="0"/>
                <w:numId w:val="4"/>
              </w:numPr>
              <w:ind w:right="118"/>
              <w:jc w:val="both"/>
              <w:rPr>
                <w:rFonts w:ascii="Arial" w:eastAsia="Arial" w:hAnsi="Arial" w:cs="Arial"/>
                <w:b/>
              </w:rPr>
            </w:pPr>
            <w:r>
              <w:rPr>
                <w:rFonts w:ascii="Arial" w:eastAsia="Arial" w:hAnsi="Arial" w:cs="Arial"/>
                <w:b/>
              </w:rPr>
              <w:t xml:space="preserve">Vaccination status </w:t>
            </w:r>
            <w:r>
              <w:rPr>
                <w:rFonts w:ascii="Arial" w:eastAsia="Arial" w:hAnsi="Arial" w:cs="Arial"/>
              </w:rPr>
              <w:t>(dates of flu and covid-19 vaccinations obtained from the National Immunisation Management Service)</w:t>
            </w:r>
          </w:p>
          <w:p w14:paraId="23EB12E2" w14:textId="77777777" w:rsidR="00CA64BF" w:rsidRDefault="00FA3A2B">
            <w:pPr>
              <w:spacing w:line="276" w:lineRule="auto"/>
              <w:rPr>
                <w:rFonts w:ascii="Roboto" w:eastAsia="Roboto" w:hAnsi="Roboto" w:cs="Roboto"/>
                <w:b/>
              </w:rPr>
            </w:pPr>
            <w:r>
              <w:rPr>
                <w:rFonts w:ascii="Roboto" w:eastAsia="Roboto" w:hAnsi="Roboto" w:cs="Roboto"/>
                <w:b/>
                <w:noProof/>
              </w:rPr>
              <w:drawing>
                <wp:inline distT="114300" distB="114300" distL="114300" distR="114300" wp14:anchorId="35C8934B" wp14:editId="6AC76CED">
                  <wp:extent cx="6115050" cy="3441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6115050" cy="3441700"/>
                          </a:xfrm>
                          <a:prstGeom prst="rect">
                            <a:avLst/>
                          </a:prstGeom>
                          <a:ln/>
                        </pic:spPr>
                      </pic:pic>
                    </a:graphicData>
                  </a:graphic>
                </wp:inline>
              </w:drawing>
            </w:r>
          </w:p>
          <w:p w14:paraId="0C402B3E" w14:textId="77777777" w:rsidR="00CA64BF" w:rsidRDefault="00FA3A2B">
            <w:pPr>
              <w:spacing w:line="276" w:lineRule="auto"/>
              <w:rPr>
                <w:rFonts w:ascii="Roboto" w:eastAsia="Roboto" w:hAnsi="Roboto" w:cs="Roboto"/>
                <w:b/>
              </w:rPr>
            </w:pPr>
            <w:r>
              <w:rPr>
                <w:rFonts w:ascii="Roboto" w:eastAsia="Roboto" w:hAnsi="Roboto" w:cs="Roboto"/>
                <w:b/>
              </w:rPr>
              <w:t>Recording solution:</w:t>
            </w:r>
          </w:p>
          <w:p w14:paraId="14C79369" w14:textId="77777777" w:rsidR="00CA64BF" w:rsidRDefault="00FA3A2B">
            <w:pPr>
              <w:spacing w:line="276" w:lineRule="auto"/>
              <w:rPr>
                <w:rFonts w:ascii="Roboto" w:eastAsia="Roboto" w:hAnsi="Roboto" w:cs="Roboto"/>
              </w:rPr>
            </w:pPr>
            <w:r>
              <w:rPr>
                <w:rFonts w:ascii="Roboto" w:eastAsia="Roboto" w:hAnsi="Roboto" w:cs="Roboto"/>
              </w:rPr>
              <w:t>When the recording solution is enabled, the additional data processed by AccuRx in this case is:</w:t>
            </w:r>
          </w:p>
          <w:p w14:paraId="476EEB3A" w14:textId="77777777" w:rsidR="00CA64BF" w:rsidRDefault="00FA3A2B">
            <w:pPr>
              <w:widowControl w:val="0"/>
              <w:numPr>
                <w:ilvl w:val="0"/>
                <w:numId w:val="4"/>
              </w:numPr>
              <w:ind w:right="118"/>
              <w:jc w:val="both"/>
              <w:rPr>
                <w:rFonts w:ascii="Arial" w:eastAsia="Arial" w:hAnsi="Arial" w:cs="Arial"/>
              </w:rPr>
            </w:pPr>
            <w:r>
              <w:rPr>
                <w:rFonts w:ascii="Arial" w:eastAsia="Arial" w:hAnsi="Arial" w:cs="Arial"/>
                <w:b/>
              </w:rPr>
              <w:t>Records of vaccinations and adverse events</w:t>
            </w:r>
            <w:r>
              <w:rPr>
                <w:rFonts w:ascii="Arial" w:eastAsia="Arial" w:hAnsi="Arial" w:cs="Arial"/>
              </w:rPr>
              <w:t xml:space="preserve"> (created in vaccine recording solution)</w:t>
            </w:r>
          </w:p>
          <w:p w14:paraId="0542DFDF" w14:textId="77777777" w:rsidR="00CA64BF" w:rsidRDefault="00FA3A2B">
            <w:pPr>
              <w:widowControl w:val="0"/>
              <w:numPr>
                <w:ilvl w:val="0"/>
                <w:numId w:val="4"/>
              </w:numPr>
              <w:ind w:right="118"/>
              <w:jc w:val="both"/>
              <w:rPr>
                <w:rFonts w:ascii="Arial" w:eastAsia="Arial" w:hAnsi="Arial" w:cs="Arial"/>
              </w:rPr>
            </w:pPr>
            <w:r>
              <w:rPr>
                <w:rFonts w:ascii="Arial" w:eastAsia="Arial" w:hAnsi="Arial" w:cs="Arial"/>
              </w:rPr>
              <w:t xml:space="preserve">These will be extended in line with the vaccination programme’s requirements, as defined in the </w:t>
            </w:r>
            <w:hyperlink r:id="rId18">
              <w:r>
                <w:rPr>
                  <w:rFonts w:ascii="Arial" w:eastAsia="Arial" w:hAnsi="Arial" w:cs="Arial"/>
                  <w:color w:val="1155CC"/>
                  <w:u w:val="single"/>
                </w:rPr>
                <w:t>NHS Digital specifications here</w:t>
              </w:r>
            </w:hyperlink>
            <w:r>
              <w:rPr>
                <w:rFonts w:ascii="Arial" w:eastAsia="Arial" w:hAnsi="Arial" w:cs="Arial"/>
              </w:rPr>
              <w:t>. For example, we know this will include the ethnicity of the patient being vaccinated, as recorded at the point of care.</w:t>
            </w:r>
          </w:p>
          <w:p w14:paraId="719332A5" w14:textId="77777777" w:rsidR="00CA64BF" w:rsidRDefault="00CA64BF">
            <w:pPr>
              <w:spacing w:line="276" w:lineRule="auto"/>
              <w:rPr>
                <w:rFonts w:ascii="Roboto" w:eastAsia="Roboto" w:hAnsi="Roboto" w:cs="Roboto"/>
              </w:rPr>
            </w:pPr>
          </w:p>
          <w:p w14:paraId="370ACC78" w14:textId="77777777" w:rsidR="00CA64BF" w:rsidRDefault="00FA3A2B">
            <w:pPr>
              <w:spacing w:line="276" w:lineRule="auto"/>
              <w:rPr>
                <w:rFonts w:ascii="Roboto" w:eastAsia="Roboto" w:hAnsi="Roboto" w:cs="Roboto"/>
                <w:b/>
              </w:rPr>
            </w:pPr>
            <w:r>
              <w:rPr>
                <w:rFonts w:ascii="Roboto" w:eastAsia="Roboto" w:hAnsi="Roboto" w:cs="Roboto"/>
                <w:b/>
              </w:rPr>
              <w:t>Retention</w:t>
            </w:r>
          </w:p>
          <w:p w14:paraId="3452DA0E" w14:textId="77777777" w:rsidR="00CA64BF" w:rsidRDefault="00FA3A2B">
            <w:pPr>
              <w:spacing w:line="276" w:lineRule="auto"/>
              <w:rPr>
                <w:rFonts w:ascii="Roboto" w:eastAsia="Roboto" w:hAnsi="Roboto" w:cs="Roboto"/>
                <w:b/>
                <w:u w:val="single"/>
              </w:rPr>
            </w:pPr>
            <w:r>
              <w:rPr>
                <w:rFonts w:ascii="Roboto" w:eastAsia="Roboto" w:hAnsi="Roboto" w:cs="Roboto"/>
              </w:rPr>
              <w:t xml:space="preserve">Patients’ data is generally retained in line with the </w:t>
            </w:r>
            <w:hyperlink r:id="rId19">
              <w:r>
                <w:rPr>
                  <w:rFonts w:ascii="Roboto" w:eastAsia="Roboto" w:hAnsi="Roboto" w:cs="Roboto"/>
                  <w:color w:val="1155CC"/>
                  <w:u w:val="single"/>
                </w:rPr>
                <w:t>Records Management Code of Practice for Health and Social Care 2016</w:t>
              </w:r>
            </w:hyperlink>
            <w:r>
              <w:rPr>
                <w:rFonts w:ascii="Roboto" w:eastAsia="Roboto" w:hAnsi="Roboto" w:cs="Roboto"/>
              </w:rPr>
              <w:t>. However, AccuRx will delete the data earlier than suggested by this code if they were informed by controller, subject, or other authority, that the condition of Article 9(3) GDPR and s. 11(1) Data Protection Act 2018 no longer applies. NHS Digital are expected to issue guidance on retention for all solutions commissioned on appointment management and recording solutions - this will inform the accuRx Vaccine Booking and Recording Solutions default retention period. Deletion will be carried out at the data controllers’ request or when a service with the organisation in control of the data is terminated.</w:t>
            </w:r>
            <w:r>
              <w:rPr>
                <w:rFonts w:ascii="Roboto" w:eastAsia="Roboto" w:hAnsi="Roboto" w:cs="Roboto"/>
              </w:rPr>
              <w:br/>
            </w:r>
            <w:r>
              <w:rPr>
                <w:rFonts w:ascii="Roboto" w:eastAsia="Roboto" w:hAnsi="Roboto" w:cs="Roboto"/>
              </w:rPr>
              <w:br/>
              <w:t xml:space="preserve">AccuRx’s sub-processors are identified in its </w:t>
            </w:r>
            <w:hyperlink r:id="rId20">
              <w:r>
                <w:rPr>
                  <w:rFonts w:ascii="Roboto" w:eastAsia="Roboto" w:hAnsi="Roboto" w:cs="Roboto"/>
                  <w:color w:val="1155CC"/>
                  <w:u w:val="single"/>
                </w:rPr>
                <w:t>data processing agreement</w:t>
              </w:r>
            </w:hyperlink>
            <w:r>
              <w:rPr>
                <w:rFonts w:ascii="Roboto" w:eastAsia="Roboto" w:hAnsi="Roboto" w:cs="Roboto"/>
              </w:rPr>
              <w:t xml:space="preserve"> and operate based on Article 28 GDPR-compliant agreements. AccuRx data is encrypted in transit via HTTPS and encrypted at rest via TDE. AccuRx follow the Microsoft Azure Security and Compliant Blueprint for Platform-as-a-Service web applications, specifically designed for NHS services. See </w:t>
            </w:r>
            <w:hyperlink r:id="rId21">
              <w:r>
                <w:rPr>
                  <w:rFonts w:ascii="Roboto" w:eastAsia="Roboto" w:hAnsi="Roboto" w:cs="Roboto"/>
                  <w:color w:val="1155CC"/>
                  <w:u w:val="single"/>
                </w:rPr>
                <w:t>here</w:t>
              </w:r>
            </w:hyperlink>
            <w:hyperlink r:id="rId22">
              <w:r>
                <w:rPr>
                  <w:rFonts w:ascii="Roboto" w:eastAsia="Roboto" w:hAnsi="Roboto" w:cs="Roboto"/>
                  <w:color w:val="1155CC"/>
                </w:rPr>
                <w:t xml:space="preserve"> </w:t>
              </w:r>
            </w:hyperlink>
            <w:r>
              <w:rPr>
                <w:rFonts w:ascii="Roboto" w:eastAsia="Roboto" w:hAnsi="Roboto" w:cs="Roboto"/>
              </w:rPr>
              <w:t xml:space="preserve">and </w:t>
            </w:r>
            <w:hyperlink r:id="rId23">
              <w:r>
                <w:rPr>
                  <w:rFonts w:ascii="Roboto" w:eastAsia="Roboto" w:hAnsi="Roboto" w:cs="Roboto"/>
                  <w:color w:val="1155CC"/>
                  <w:u w:val="single"/>
                </w:rPr>
                <w:t>here</w:t>
              </w:r>
            </w:hyperlink>
            <w:r>
              <w:rPr>
                <w:rFonts w:ascii="Roboto" w:eastAsia="Roboto" w:hAnsi="Roboto" w:cs="Roboto"/>
              </w:rPr>
              <w:t xml:space="preserve"> for further information.</w:t>
            </w:r>
            <w:r>
              <w:rPr>
                <w:rFonts w:ascii="Roboto" w:eastAsia="Roboto" w:hAnsi="Roboto" w:cs="Roboto"/>
              </w:rPr>
              <w:br/>
            </w:r>
          </w:p>
        </w:tc>
      </w:tr>
    </w:tbl>
    <w:p w14:paraId="0E330225" w14:textId="77777777" w:rsidR="00CA64BF" w:rsidRDefault="00CA64BF">
      <w:pPr>
        <w:rPr>
          <w:rFonts w:ascii="Roboto" w:eastAsia="Roboto" w:hAnsi="Roboto" w:cs="Roboto"/>
          <w:sz w:val="24"/>
          <w:szCs w:val="24"/>
        </w:rPr>
      </w:pPr>
    </w:p>
    <w:p w14:paraId="55E5EB81" w14:textId="77777777" w:rsidR="00CA64BF" w:rsidRDefault="00CA64BF">
      <w:pPr>
        <w:rPr>
          <w:rFonts w:ascii="Roboto" w:eastAsia="Roboto" w:hAnsi="Roboto" w:cs="Roboto"/>
          <w:sz w:val="24"/>
          <w:szCs w:val="24"/>
        </w:rPr>
      </w:pPr>
    </w:p>
    <w:tbl>
      <w:tblPr>
        <w:tblStyle w:val="a3"/>
        <w:tblW w:w="982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CA64BF" w14:paraId="0D779C0C" w14:textId="77777777">
        <w:tc>
          <w:tcPr>
            <w:tcW w:w="9825" w:type="dxa"/>
          </w:tcPr>
          <w:p w14:paraId="70889831" w14:textId="77777777" w:rsidR="00CA64BF" w:rsidRDefault="00FA3A2B">
            <w:pPr>
              <w:spacing w:line="276" w:lineRule="auto"/>
              <w:rPr>
                <w:rFonts w:ascii="Roboto" w:eastAsia="Roboto" w:hAnsi="Roboto" w:cs="Roboto"/>
                <w:color w:val="666666"/>
              </w:rPr>
            </w:pPr>
            <w:r>
              <w:rPr>
                <w:rFonts w:ascii="Roboto" w:eastAsia="Roboto" w:hAnsi="Roboto" w:cs="Roboto"/>
                <w:b/>
                <w:color w:val="666666"/>
              </w:rPr>
              <w:t xml:space="preserve">Describe the context of the processing: </w:t>
            </w:r>
            <w:r>
              <w:rPr>
                <w:rFonts w:ascii="Roboto" w:eastAsia="Roboto" w:hAnsi="Roboto" w:cs="Roboto"/>
                <w:color w:val="666666"/>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p w14:paraId="434371F5" w14:textId="77777777" w:rsidR="00CA64BF" w:rsidRDefault="00CA64BF">
            <w:pPr>
              <w:spacing w:line="276" w:lineRule="auto"/>
              <w:rPr>
                <w:rFonts w:ascii="Roboto" w:eastAsia="Roboto" w:hAnsi="Roboto" w:cs="Roboto"/>
                <w:color w:val="666666"/>
              </w:rPr>
            </w:pPr>
          </w:p>
        </w:tc>
      </w:tr>
      <w:tr w:rsidR="00CA64BF" w14:paraId="4409CE81" w14:textId="77777777">
        <w:trPr>
          <w:trHeight w:val="1896"/>
        </w:trPr>
        <w:tc>
          <w:tcPr>
            <w:tcW w:w="9825" w:type="dxa"/>
          </w:tcPr>
          <w:p w14:paraId="40AA3C3F" w14:textId="77777777" w:rsidR="00CA64BF" w:rsidRDefault="00FA3A2B">
            <w:pPr>
              <w:spacing w:before="120" w:after="120"/>
              <w:jc w:val="both"/>
              <w:rPr>
                <w:rFonts w:ascii="Roboto" w:eastAsia="Roboto" w:hAnsi="Roboto" w:cs="Roboto"/>
              </w:rPr>
            </w:pPr>
            <w:bookmarkStart w:id="1" w:name="_qhyz2sk3b0k5" w:colFirst="0" w:colLast="0"/>
            <w:bookmarkEnd w:id="1"/>
            <w:r>
              <w:rPr>
                <w:rFonts w:ascii="Roboto" w:eastAsia="Roboto" w:hAnsi="Roboto" w:cs="Roboto"/>
              </w:rPr>
              <w:t xml:space="preserve">The nature of the relationship between practice and the individual patient is that of health and social care staff providing direct care to patients. These patients are those eligible and invited for the Covid-19 vaccination programme. </w:t>
            </w:r>
          </w:p>
          <w:p w14:paraId="5DD60617" w14:textId="77777777" w:rsidR="00CA64BF" w:rsidRDefault="00FA3A2B">
            <w:pPr>
              <w:spacing w:line="276" w:lineRule="auto"/>
              <w:rPr>
                <w:rFonts w:ascii="Roboto" w:eastAsia="Roboto" w:hAnsi="Roboto" w:cs="Roboto"/>
              </w:rPr>
            </w:pPr>
            <w:r>
              <w:rPr>
                <w:rFonts w:ascii="Roboto" w:eastAsia="Roboto" w:hAnsi="Roboto" w:cs="Roboto"/>
              </w:rPr>
              <w:t xml:space="preserve">Use of the vaccine product depends on the practice already using the accuRx Desktop platform at the practice (DPIA template for accuRx desktop </w:t>
            </w:r>
            <w:hyperlink r:id="rId24">
              <w:r>
                <w:rPr>
                  <w:rFonts w:ascii="Roboto" w:eastAsia="Roboto" w:hAnsi="Roboto" w:cs="Roboto"/>
                  <w:color w:val="1155CC"/>
                  <w:u w:val="single"/>
                </w:rPr>
                <w:t>here</w:t>
              </w:r>
            </w:hyperlink>
            <w:r>
              <w:rPr>
                <w:rFonts w:ascii="Roboto" w:eastAsia="Roboto" w:hAnsi="Roboto" w:cs="Roboto"/>
              </w:rPr>
              <w:t xml:space="preserve">). </w:t>
            </w:r>
          </w:p>
          <w:p w14:paraId="76B48BF3" w14:textId="77777777" w:rsidR="00CA64BF" w:rsidRDefault="00CA64BF">
            <w:pPr>
              <w:spacing w:line="276" w:lineRule="auto"/>
              <w:rPr>
                <w:rFonts w:ascii="Roboto" w:eastAsia="Roboto" w:hAnsi="Roboto" w:cs="Roboto"/>
              </w:rPr>
            </w:pPr>
          </w:p>
          <w:p w14:paraId="0769E331" w14:textId="77777777" w:rsidR="00CA64BF" w:rsidRDefault="00FA3A2B">
            <w:pPr>
              <w:spacing w:line="276" w:lineRule="auto"/>
              <w:rPr>
                <w:rFonts w:ascii="Roboto" w:eastAsia="Roboto" w:hAnsi="Roboto" w:cs="Roboto"/>
              </w:rPr>
            </w:pPr>
            <w:r>
              <w:rPr>
                <w:rFonts w:ascii="Roboto" w:eastAsia="Roboto" w:hAnsi="Roboto" w:cs="Roboto"/>
              </w:rPr>
              <w:t xml:space="preserve">The Recording solution involves the creation of an individual record of Covid-19 vaccination that is to be shared by the organisation with the National Immunisation Management Service (NIMS) as a condition of their participation in the Covid-19 vaccination programme. The accuRx solution will format the data according to NHS Digital specifications (available on request). Once the data is passed to NIMS, it is no longer being processed by accuRx. The NIMS service is described by NHS England  </w:t>
            </w:r>
            <w:hyperlink r:id="rId25">
              <w:r>
                <w:rPr>
                  <w:rFonts w:ascii="Roboto" w:eastAsia="Roboto" w:hAnsi="Roboto" w:cs="Roboto"/>
                  <w:color w:val="1155CC"/>
                  <w:u w:val="single"/>
                </w:rPr>
                <w:t>here</w:t>
              </w:r>
            </w:hyperlink>
            <w:r>
              <w:rPr>
                <w:rFonts w:ascii="Roboto" w:eastAsia="Roboto" w:hAnsi="Roboto" w:cs="Roboto"/>
              </w:rPr>
              <w:t xml:space="preserve">. </w:t>
            </w:r>
          </w:p>
          <w:p w14:paraId="043D704C" w14:textId="77777777" w:rsidR="00CA64BF" w:rsidRDefault="00CA64BF">
            <w:pPr>
              <w:spacing w:line="276" w:lineRule="auto"/>
              <w:rPr>
                <w:rFonts w:ascii="Roboto" w:eastAsia="Roboto" w:hAnsi="Roboto" w:cs="Roboto"/>
              </w:rPr>
            </w:pPr>
          </w:p>
        </w:tc>
      </w:tr>
    </w:tbl>
    <w:p w14:paraId="4743FBDC" w14:textId="77777777" w:rsidR="00CA64BF" w:rsidRDefault="00CA64BF">
      <w:pPr>
        <w:rPr>
          <w:rFonts w:ascii="Roboto" w:eastAsia="Roboto" w:hAnsi="Roboto" w:cs="Roboto"/>
          <w:sz w:val="24"/>
          <w:szCs w:val="24"/>
        </w:rPr>
      </w:pPr>
    </w:p>
    <w:tbl>
      <w:tblPr>
        <w:tblStyle w:val="a4"/>
        <w:tblW w:w="981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CA64BF" w14:paraId="6F1D4C1B" w14:textId="77777777">
        <w:tc>
          <w:tcPr>
            <w:tcW w:w="9810" w:type="dxa"/>
          </w:tcPr>
          <w:p w14:paraId="16220E53" w14:textId="77777777" w:rsidR="00CA64BF" w:rsidRDefault="00CA64BF">
            <w:pPr>
              <w:spacing w:line="276" w:lineRule="auto"/>
              <w:rPr>
                <w:rFonts w:ascii="Roboto" w:eastAsia="Roboto" w:hAnsi="Roboto" w:cs="Roboto"/>
                <w:b/>
                <w:color w:val="002060"/>
              </w:rPr>
            </w:pPr>
          </w:p>
          <w:p w14:paraId="338C531B" w14:textId="77777777" w:rsidR="00CA64BF" w:rsidRDefault="00FA3A2B">
            <w:pPr>
              <w:spacing w:line="276" w:lineRule="auto"/>
              <w:rPr>
                <w:rFonts w:ascii="Roboto" w:eastAsia="Roboto" w:hAnsi="Roboto" w:cs="Roboto"/>
                <w:color w:val="666666"/>
              </w:rPr>
            </w:pPr>
            <w:r>
              <w:rPr>
                <w:rFonts w:ascii="Roboto" w:eastAsia="Roboto" w:hAnsi="Roboto" w:cs="Roboto"/>
                <w:b/>
                <w:color w:val="666666"/>
              </w:rPr>
              <w:lastRenderedPageBreak/>
              <w:t xml:space="preserve">Describe the purposes of the processing: </w:t>
            </w:r>
            <w:r>
              <w:rPr>
                <w:rFonts w:ascii="Roboto" w:eastAsia="Roboto" w:hAnsi="Roboto" w:cs="Roboto"/>
                <w:color w:val="666666"/>
              </w:rPr>
              <w:t xml:space="preserve">what do you want to achieve? What is the intended effect on individuals? What are the benefits of the processing – for  you, and more broadly? </w:t>
            </w:r>
          </w:p>
          <w:p w14:paraId="295CFB31" w14:textId="77777777" w:rsidR="00CA64BF" w:rsidRDefault="00CA64BF">
            <w:pPr>
              <w:spacing w:line="276" w:lineRule="auto"/>
              <w:rPr>
                <w:rFonts w:ascii="Roboto" w:eastAsia="Roboto" w:hAnsi="Roboto" w:cs="Roboto"/>
                <w:color w:val="002060"/>
              </w:rPr>
            </w:pPr>
          </w:p>
        </w:tc>
      </w:tr>
      <w:tr w:rsidR="00CA64BF" w14:paraId="611B655E" w14:textId="77777777">
        <w:trPr>
          <w:trHeight w:val="990"/>
        </w:trPr>
        <w:tc>
          <w:tcPr>
            <w:tcW w:w="9810" w:type="dxa"/>
          </w:tcPr>
          <w:p w14:paraId="51FDA8AF" w14:textId="77777777" w:rsidR="00CA64BF" w:rsidRDefault="00CA64BF">
            <w:pPr>
              <w:spacing w:line="276" w:lineRule="auto"/>
              <w:rPr>
                <w:rFonts w:ascii="Roboto" w:eastAsia="Roboto" w:hAnsi="Roboto" w:cs="Roboto"/>
              </w:rPr>
            </w:pPr>
          </w:p>
          <w:p w14:paraId="0B3D2B9A" w14:textId="77777777" w:rsidR="00CA64BF" w:rsidRDefault="00FA3A2B">
            <w:pPr>
              <w:spacing w:line="276" w:lineRule="auto"/>
              <w:rPr>
                <w:rFonts w:ascii="Roboto" w:eastAsia="Roboto" w:hAnsi="Roboto" w:cs="Roboto"/>
              </w:rPr>
            </w:pPr>
            <w:r>
              <w:rPr>
                <w:rFonts w:ascii="Roboto" w:eastAsia="Roboto" w:hAnsi="Roboto" w:cs="Roboto"/>
              </w:rPr>
              <w:t xml:space="preserve">accuRx always acts as a data processor in relation to patients’ data that providers share with accuRx through the use of its software services. </w:t>
            </w:r>
          </w:p>
          <w:p w14:paraId="44BE673F" w14:textId="77777777" w:rsidR="00CA64BF" w:rsidRDefault="00CA64BF">
            <w:pPr>
              <w:spacing w:line="276" w:lineRule="auto"/>
              <w:rPr>
                <w:rFonts w:ascii="Roboto" w:eastAsia="Roboto" w:hAnsi="Roboto" w:cs="Roboto"/>
              </w:rPr>
            </w:pPr>
          </w:p>
          <w:p w14:paraId="578BAD7C" w14:textId="77777777" w:rsidR="00CA64BF" w:rsidRDefault="00FA3A2B">
            <w:pPr>
              <w:spacing w:line="276" w:lineRule="auto"/>
              <w:rPr>
                <w:rFonts w:ascii="Roboto" w:eastAsia="Roboto" w:hAnsi="Roboto" w:cs="Roboto"/>
              </w:rPr>
            </w:pPr>
            <w:r>
              <w:rPr>
                <w:rFonts w:ascii="Roboto" w:eastAsia="Roboto" w:hAnsi="Roboto" w:cs="Roboto"/>
              </w:rPr>
              <w:t>Health care providers’ lawful basis for processing patient data using accuRx services is expected to be:</w:t>
            </w:r>
          </w:p>
          <w:p w14:paraId="248B4078" w14:textId="77777777" w:rsidR="00CA64BF" w:rsidRDefault="00FA3A2B">
            <w:pPr>
              <w:spacing w:line="276" w:lineRule="auto"/>
              <w:rPr>
                <w:rFonts w:ascii="Roboto" w:eastAsia="Roboto" w:hAnsi="Roboto" w:cs="Roboto"/>
              </w:rPr>
            </w:pPr>
            <w:r>
              <w:rPr>
                <w:rFonts w:ascii="Roboto" w:eastAsia="Roboto" w:hAnsi="Roboto" w:cs="Roboto"/>
              </w:rPr>
              <w:t>Article 6(1)(e) – ‘...exercise of official authority…’;</w:t>
            </w:r>
          </w:p>
          <w:p w14:paraId="0D350DF2" w14:textId="77777777" w:rsidR="00CA64BF" w:rsidRDefault="00CA64BF">
            <w:pPr>
              <w:spacing w:line="276" w:lineRule="auto"/>
              <w:rPr>
                <w:rFonts w:ascii="Roboto" w:eastAsia="Roboto" w:hAnsi="Roboto" w:cs="Roboto"/>
              </w:rPr>
            </w:pPr>
          </w:p>
          <w:p w14:paraId="4764A1EE" w14:textId="77777777" w:rsidR="00CA64BF" w:rsidRDefault="00FA3A2B">
            <w:pPr>
              <w:spacing w:line="276" w:lineRule="auto"/>
              <w:rPr>
                <w:rFonts w:ascii="Roboto" w:eastAsia="Roboto" w:hAnsi="Roboto" w:cs="Roboto"/>
              </w:rPr>
            </w:pPr>
            <w:r>
              <w:rPr>
                <w:rFonts w:ascii="Roboto" w:eastAsia="Roboto" w:hAnsi="Roboto" w:cs="Roboto"/>
              </w:rPr>
              <w:t>And their processing of special categories (health) data using accuRx services, the conditions are expected to be:</w:t>
            </w:r>
          </w:p>
          <w:p w14:paraId="7AA4F6F5" w14:textId="77777777" w:rsidR="00CA64BF" w:rsidRDefault="00FA3A2B">
            <w:pPr>
              <w:spacing w:line="276" w:lineRule="auto"/>
              <w:rPr>
                <w:rFonts w:ascii="Roboto" w:eastAsia="Roboto" w:hAnsi="Roboto" w:cs="Roboto"/>
              </w:rPr>
            </w:pPr>
            <w:r>
              <w:rPr>
                <w:rFonts w:ascii="Roboto" w:eastAsia="Roboto" w:hAnsi="Roboto" w:cs="Roboto"/>
              </w:rPr>
              <w:t xml:space="preserve">9(2)(h) – ‘…health or social care…’, and </w:t>
            </w:r>
          </w:p>
          <w:p w14:paraId="25A30A7E" w14:textId="77777777" w:rsidR="00CA64BF" w:rsidRDefault="00FA3A2B">
            <w:pPr>
              <w:spacing w:line="276" w:lineRule="auto"/>
              <w:rPr>
                <w:rFonts w:ascii="Roboto" w:eastAsia="Roboto" w:hAnsi="Roboto" w:cs="Roboto"/>
              </w:rPr>
            </w:pPr>
            <w:r>
              <w:rPr>
                <w:rFonts w:ascii="Roboto" w:eastAsia="Roboto" w:hAnsi="Roboto" w:cs="Roboto"/>
              </w:rPr>
              <w:t>9(2)(i) – ‘…public health purposes…’.</w:t>
            </w:r>
          </w:p>
          <w:p w14:paraId="7AD6566B" w14:textId="77777777" w:rsidR="00CA64BF" w:rsidRDefault="00CA64BF">
            <w:pPr>
              <w:spacing w:line="276" w:lineRule="auto"/>
              <w:rPr>
                <w:rFonts w:ascii="Roboto" w:eastAsia="Roboto" w:hAnsi="Roboto" w:cs="Roboto"/>
              </w:rPr>
            </w:pPr>
          </w:p>
          <w:p w14:paraId="0BBE2E20" w14:textId="77777777" w:rsidR="00CA64BF" w:rsidRDefault="00FA3A2B">
            <w:pPr>
              <w:spacing w:line="276" w:lineRule="auto"/>
              <w:rPr>
                <w:rFonts w:ascii="Roboto" w:eastAsia="Roboto" w:hAnsi="Roboto" w:cs="Roboto"/>
              </w:rPr>
            </w:pPr>
            <w:r>
              <w:rPr>
                <w:rFonts w:ascii="Roboto" w:eastAsia="Roboto" w:hAnsi="Roboto" w:cs="Roboto"/>
              </w:rPr>
              <w:t>For processing special categories (ethnicity) data using accuRx services, the conditions are expected to be:</w:t>
            </w:r>
          </w:p>
          <w:p w14:paraId="19FC40CB" w14:textId="77777777" w:rsidR="00CA64BF" w:rsidRDefault="00FA3A2B">
            <w:pPr>
              <w:spacing w:line="276" w:lineRule="auto"/>
              <w:rPr>
                <w:rFonts w:ascii="Roboto" w:eastAsia="Roboto" w:hAnsi="Roboto" w:cs="Roboto"/>
              </w:rPr>
            </w:pPr>
            <w:r>
              <w:rPr>
                <w:rFonts w:ascii="Roboto" w:eastAsia="Roboto" w:hAnsi="Roboto" w:cs="Roboto"/>
              </w:rPr>
              <w:t xml:space="preserve">9(2)(h) – ‘…health or social care…’, and </w:t>
            </w:r>
          </w:p>
          <w:p w14:paraId="7D4E63F0" w14:textId="77777777" w:rsidR="00CA64BF" w:rsidRDefault="00FA3A2B">
            <w:pPr>
              <w:spacing w:line="276" w:lineRule="auto"/>
              <w:rPr>
                <w:rFonts w:ascii="Roboto" w:eastAsia="Roboto" w:hAnsi="Roboto" w:cs="Roboto"/>
              </w:rPr>
            </w:pPr>
            <w:r>
              <w:rPr>
                <w:rFonts w:ascii="Roboto" w:eastAsia="Roboto" w:hAnsi="Roboto" w:cs="Roboto"/>
              </w:rPr>
              <w:t>9(2)(b) – ‘…social protection law…’ (for monitoring equality of access)</w:t>
            </w:r>
          </w:p>
          <w:p w14:paraId="435CF73B" w14:textId="77777777" w:rsidR="00CA64BF" w:rsidRDefault="00CA64BF">
            <w:pPr>
              <w:spacing w:line="276" w:lineRule="auto"/>
              <w:rPr>
                <w:rFonts w:ascii="Roboto" w:eastAsia="Roboto" w:hAnsi="Roboto" w:cs="Roboto"/>
              </w:rPr>
            </w:pPr>
          </w:p>
          <w:p w14:paraId="608574D0" w14:textId="77777777" w:rsidR="00CA64BF" w:rsidRDefault="00FA3A2B">
            <w:pPr>
              <w:spacing w:line="276" w:lineRule="auto"/>
              <w:rPr>
                <w:rFonts w:ascii="Roboto" w:eastAsia="Roboto" w:hAnsi="Roboto" w:cs="Roboto"/>
              </w:rPr>
            </w:pPr>
            <w:r>
              <w:rPr>
                <w:rFonts w:ascii="Roboto" w:eastAsia="Roboto" w:hAnsi="Roboto" w:cs="Roboto"/>
              </w:rPr>
              <w:t>Anyone using accuRx for purposes beyond those set out above are likely to be misusing the software and in breach of the terms and conditions.</w:t>
            </w:r>
          </w:p>
          <w:p w14:paraId="7ADF3C5B" w14:textId="77777777" w:rsidR="00CA64BF" w:rsidRDefault="00CA64BF">
            <w:pPr>
              <w:spacing w:line="276" w:lineRule="auto"/>
              <w:rPr>
                <w:rFonts w:ascii="Roboto" w:eastAsia="Roboto" w:hAnsi="Roboto" w:cs="Roboto"/>
              </w:rPr>
            </w:pPr>
          </w:p>
        </w:tc>
      </w:tr>
    </w:tbl>
    <w:p w14:paraId="730CC028" w14:textId="77777777" w:rsidR="00CA64BF" w:rsidRDefault="00CA64BF">
      <w:pPr>
        <w:rPr>
          <w:rFonts w:ascii="Roboto" w:eastAsia="Roboto" w:hAnsi="Roboto" w:cs="Roboto"/>
          <w:color w:val="FFFFFF"/>
          <w:sz w:val="36"/>
          <w:szCs w:val="36"/>
        </w:rPr>
      </w:pPr>
    </w:p>
    <w:p w14:paraId="4B34A5C8" w14:textId="77777777" w:rsidR="00CA64BF" w:rsidRDefault="00CA64BF">
      <w:pPr>
        <w:rPr>
          <w:rFonts w:ascii="Roboto" w:eastAsia="Roboto" w:hAnsi="Roboto" w:cs="Roboto"/>
          <w:color w:val="FFFFFF"/>
          <w:sz w:val="36"/>
          <w:szCs w:val="36"/>
        </w:rPr>
      </w:pPr>
    </w:p>
    <w:tbl>
      <w:tblPr>
        <w:tblStyle w:val="a5"/>
        <w:tblW w:w="982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CA64BF" w14:paraId="5BC11CA2" w14:textId="77777777">
        <w:tc>
          <w:tcPr>
            <w:tcW w:w="9825" w:type="dxa"/>
            <w:shd w:val="clear" w:color="auto" w:fill="149494"/>
          </w:tcPr>
          <w:p w14:paraId="3DC8CF2F" w14:textId="77777777" w:rsidR="00CA64BF" w:rsidRDefault="00FA3A2B">
            <w:pPr>
              <w:spacing w:line="276" w:lineRule="auto"/>
              <w:rPr>
                <w:rFonts w:ascii="Roboto" w:eastAsia="Roboto" w:hAnsi="Roboto" w:cs="Roboto"/>
                <w:b/>
                <w:color w:val="002060"/>
              </w:rPr>
            </w:pPr>
            <w:r>
              <w:rPr>
                <w:rFonts w:ascii="Roboto" w:eastAsia="Roboto" w:hAnsi="Roboto" w:cs="Roboto"/>
                <w:color w:val="FFFFFF"/>
                <w:sz w:val="36"/>
                <w:szCs w:val="36"/>
              </w:rPr>
              <w:t>Step 3: Consultation process</w:t>
            </w:r>
          </w:p>
        </w:tc>
      </w:tr>
      <w:tr w:rsidR="00CA64BF" w14:paraId="18E847B1" w14:textId="77777777">
        <w:tc>
          <w:tcPr>
            <w:tcW w:w="9825" w:type="dxa"/>
          </w:tcPr>
          <w:p w14:paraId="1A745589" w14:textId="77777777" w:rsidR="00CA64BF" w:rsidRDefault="00CA64BF">
            <w:pPr>
              <w:spacing w:line="276" w:lineRule="auto"/>
              <w:rPr>
                <w:rFonts w:ascii="Roboto" w:eastAsia="Roboto" w:hAnsi="Roboto" w:cs="Roboto"/>
                <w:b/>
                <w:color w:val="002060"/>
              </w:rPr>
            </w:pPr>
          </w:p>
          <w:p w14:paraId="7C0224B5" w14:textId="77777777" w:rsidR="00CA64BF" w:rsidRDefault="00FA3A2B">
            <w:pPr>
              <w:spacing w:line="276" w:lineRule="auto"/>
              <w:rPr>
                <w:rFonts w:ascii="Roboto" w:eastAsia="Roboto" w:hAnsi="Roboto" w:cs="Roboto"/>
                <w:color w:val="666666"/>
              </w:rPr>
            </w:pPr>
            <w:r>
              <w:rPr>
                <w:rFonts w:ascii="Roboto" w:eastAsia="Roboto" w:hAnsi="Roboto" w:cs="Roboto"/>
                <w:b/>
                <w:color w:val="666666"/>
              </w:rPr>
              <w:t xml:space="preserve">Consider how to consult with relevant stakeholders: </w:t>
            </w:r>
            <w:r>
              <w:rPr>
                <w:rFonts w:ascii="Roboto" w:eastAsia="Roboto" w:hAnsi="Roboto" w:cs="Roboto"/>
                <w:color w:val="666666"/>
              </w:rPr>
              <w:t xml:space="preserve">describe when and how you will seek individuals’ views – or justify why it’s not appropriate to do so. Who else do you need to involve within your organisation? Do you need to ask your processors to assist? Do you plan to </w:t>
            </w:r>
          </w:p>
          <w:p w14:paraId="79473FF1" w14:textId="77777777" w:rsidR="00CA64BF" w:rsidRDefault="00FA3A2B">
            <w:pPr>
              <w:spacing w:line="276" w:lineRule="auto"/>
              <w:rPr>
                <w:rFonts w:ascii="Roboto" w:eastAsia="Roboto" w:hAnsi="Roboto" w:cs="Roboto"/>
                <w:color w:val="666666"/>
              </w:rPr>
            </w:pPr>
            <w:r>
              <w:rPr>
                <w:rFonts w:ascii="Roboto" w:eastAsia="Roboto" w:hAnsi="Roboto" w:cs="Roboto"/>
                <w:color w:val="666666"/>
              </w:rPr>
              <w:t>consult information security experts, or any other experts?</w:t>
            </w:r>
          </w:p>
          <w:p w14:paraId="3D6CFB0F" w14:textId="77777777" w:rsidR="00CA64BF" w:rsidRDefault="00CA64BF">
            <w:pPr>
              <w:spacing w:line="276" w:lineRule="auto"/>
              <w:rPr>
                <w:rFonts w:ascii="Roboto" w:eastAsia="Roboto" w:hAnsi="Roboto" w:cs="Roboto"/>
                <w:color w:val="002060"/>
              </w:rPr>
            </w:pPr>
          </w:p>
        </w:tc>
      </w:tr>
      <w:tr w:rsidR="00CA64BF" w14:paraId="54465E29" w14:textId="77777777">
        <w:trPr>
          <w:trHeight w:val="885"/>
        </w:trPr>
        <w:tc>
          <w:tcPr>
            <w:tcW w:w="9825" w:type="dxa"/>
          </w:tcPr>
          <w:p w14:paraId="22131197" w14:textId="77777777" w:rsidR="00CA64BF" w:rsidRDefault="00FA3A2B">
            <w:pPr>
              <w:spacing w:before="120" w:after="120"/>
              <w:rPr>
                <w:rFonts w:ascii="Roboto" w:eastAsia="Roboto" w:hAnsi="Roboto" w:cs="Roboto"/>
              </w:rPr>
            </w:pPr>
            <w:r>
              <w:rPr>
                <w:rFonts w:ascii="Roboto" w:eastAsia="Roboto" w:hAnsi="Roboto" w:cs="Roboto"/>
              </w:rPr>
              <w:t>The Covid-19 vaccination programme was planned and executed quickly. The specification for the primary care Enhanced Service was published on the 1st December 2020 and the vaccine booking solution procured and assured by NHS Digital in the following weeks.</w:t>
            </w:r>
          </w:p>
          <w:p w14:paraId="5096A1D9" w14:textId="77777777" w:rsidR="00CA64BF" w:rsidRDefault="00FA3A2B">
            <w:pPr>
              <w:spacing w:before="120" w:after="120"/>
              <w:rPr>
                <w:rFonts w:ascii="Roboto" w:eastAsia="Roboto" w:hAnsi="Roboto" w:cs="Roboto"/>
              </w:rPr>
            </w:pPr>
            <w:r>
              <w:rPr>
                <w:rFonts w:ascii="Roboto" w:eastAsia="Roboto" w:hAnsi="Roboto" w:cs="Roboto"/>
              </w:rPr>
              <w:t xml:space="preserve">Nonetheless, accuRx has engaged widely with practices, PCNs, NHS Digital and NHS England, and patients to understand their needs and expectations from software solutions that will support the vaccination programme. This has resulted in </w:t>
            </w:r>
            <w:hyperlink r:id="rId26">
              <w:r>
                <w:rPr>
                  <w:rFonts w:ascii="Roboto" w:eastAsia="Roboto" w:hAnsi="Roboto" w:cs="Roboto"/>
                  <w:color w:val="1155CC"/>
                  <w:u w:val="single"/>
                </w:rPr>
                <w:t>improvements and changes</w:t>
              </w:r>
            </w:hyperlink>
            <w:r>
              <w:rPr>
                <w:rFonts w:ascii="Roboto" w:eastAsia="Roboto" w:hAnsi="Roboto" w:cs="Roboto"/>
              </w:rPr>
              <w:t xml:space="preserve">  that have been set out here, many of which have been put in place to meet information governance needs (such as measures in place to allow practices to check the quality of uploaded patient information). </w:t>
            </w:r>
          </w:p>
          <w:p w14:paraId="3DCBF36C" w14:textId="77777777" w:rsidR="00CA64BF" w:rsidRDefault="00FA3A2B">
            <w:pPr>
              <w:spacing w:before="120" w:after="120"/>
              <w:rPr>
                <w:rFonts w:ascii="Roboto" w:eastAsia="Roboto" w:hAnsi="Roboto" w:cs="Roboto"/>
              </w:rPr>
            </w:pPr>
            <w:r>
              <w:rPr>
                <w:rFonts w:ascii="Roboto" w:eastAsia="Roboto" w:hAnsi="Roboto" w:cs="Roboto"/>
              </w:rPr>
              <w:t xml:space="preserve">Both solutions have been designed adhering </w:t>
            </w:r>
            <w:hyperlink r:id="rId27">
              <w:r>
                <w:rPr>
                  <w:rFonts w:ascii="Roboto" w:eastAsia="Roboto" w:hAnsi="Roboto" w:cs="Roboto"/>
                  <w:color w:val="1155CC"/>
                  <w:u w:val="single"/>
                </w:rPr>
                <w:t>to national specifications from NHS Digital</w:t>
              </w:r>
            </w:hyperlink>
            <w:r>
              <w:rPr>
                <w:rFonts w:ascii="Roboto" w:eastAsia="Roboto" w:hAnsi="Roboto" w:cs="Roboto"/>
              </w:rPr>
              <w:t xml:space="preserve">. Both solutions have been assured against these standards, as can be verified on the </w:t>
            </w:r>
            <w:hyperlink r:id="rId28">
              <w:r>
                <w:rPr>
                  <w:rFonts w:ascii="Roboto" w:eastAsia="Roboto" w:hAnsi="Roboto" w:cs="Roboto"/>
                  <w:color w:val="1155CC"/>
                  <w:u w:val="single"/>
                </w:rPr>
                <w:t>NHS Digital website</w:t>
              </w:r>
            </w:hyperlink>
            <w:r>
              <w:rPr>
                <w:rFonts w:ascii="Roboto" w:eastAsia="Roboto" w:hAnsi="Roboto" w:cs="Roboto"/>
              </w:rPr>
              <w:t>. It is also built in close alignment to the Enhanced Service specification and other requirements of the vaccine programme., and with flexibility given that the requirements on organisations may change.</w:t>
            </w:r>
          </w:p>
        </w:tc>
      </w:tr>
    </w:tbl>
    <w:p w14:paraId="2A972243" w14:textId="77777777" w:rsidR="00CA64BF" w:rsidRDefault="00CA64BF">
      <w:pPr>
        <w:rPr>
          <w:rFonts w:ascii="Roboto" w:eastAsia="Roboto" w:hAnsi="Roboto" w:cs="Roboto"/>
          <w:color w:val="FFFFFF"/>
          <w:sz w:val="36"/>
          <w:szCs w:val="36"/>
        </w:rPr>
      </w:pPr>
    </w:p>
    <w:tbl>
      <w:tblPr>
        <w:tblStyle w:val="a6"/>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0"/>
      </w:tblGrid>
      <w:tr w:rsidR="00CA64BF" w14:paraId="39CF8A18" w14:textId="77777777">
        <w:tc>
          <w:tcPr>
            <w:tcW w:w="9770" w:type="dxa"/>
            <w:shd w:val="clear" w:color="auto" w:fill="149494"/>
          </w:tcPr>
          <w:p w14:paraId="030A363E" w14:textId="77777777" w:rsidR="00CA64BF" w:rsidRDefault="00FA3A2B">
            <w:pPr>
              <w:spacing w:line="276" w:lineRule="auto"/>
              <w:rPr>
                <w:rFonts w:ascii="Roboto" w:eastAsia="Roboto" w:hAnsi="Roboto" w:cs="Roboto"/>
                <w:b/>
                <w:color w:val="666666"/>
              </w:rPr>
            </w:pPr>
            <w:bookmarkStart w:id="2" w:name="_1fob9te" w:colFirst="0" w:colLast="0"/>
            <w:bookmarkEnd w:id="2"/>
            <w:r>
              <w:rPr>
                <w:rFonts w:ascii="Roboto" w:eastAsia="Roboto" w:hAnsi="Roboto" w:cs="Roboto"/>
                <w:color w:val="FFFFFF"/>
                <w:sz w:val="36"/>
                <w:szCs w:val="36"/>
              </w:rPr>
              <w:t>Step 4: Assess necessity and proportionality</w:t>
            </w:r>
          </w:p>
        </w:tc>
      </w:tr>
      <w:tr w:rsidR="00CA64BF" w14:paraId="70454401" w14:textId="77777777">
        <w:tc>
          <w:tcPr>
            <w:tcW w:w="9770" w:type="dxa"/>
          </w:tcPr>
          <w:p w14:paraId="69F17C95" w14:textId="77777777" w:rsidR="00CA64BF" w:rsidRDefault="00FA3A2B">
            <w:pPr>
              <w:rPr>
                <w:rFonts w:ascii="Roboto" w:eastAsia="Roboto" w:hAnsi="Roboto" w:cs="Roboto"/>
                <w:color w:val="666666"/>
              </w:rPr>
            </w:pPr>
            <w:r>
              <w:rPr>
                <w:rFonts w:ascii="Roboto" w:eastAsia="Roboto" w:hAnsi="Roboto" w:cs="Roboto"/>
                <w:b/>
                <w:color w:val="666666"/>
              </w:rPr>
              <w:t>Describe compliance and proportionality measures, in particular:</w:t>
            </w:r>
            <w:r>
              <w:rPr>
                <w:rFonts w:ascii="Roboto" w:eastAsia="Roboto" w:hAnsi="Roboto" w:cs="Roboto"/>
                <w:color w:val="666666"/>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A64BF" w14:paraId="2C91A0EE" w14:textId="77777777">
        <w:trPr>
          <w:trHeight w:val="3912"/>
        </w:trPr>
        <w:tc>
          <w:tcPr>
            <w:tcW w:w="9770" w:type="dxa"/>
          </w:tcPr>
          <w:p w14:paraId="68DE95F0" w14:textId="77777777" w:rsidR="00CA64BF" w:rsidRDefault="00FA3A2B">
            <w:pPr>
              <w:spacing w:line="276" w:lineRule="auto"/>
              <w:rPr>
                <w:rFonts w:ascii="Roboto" w:eastAsia="Roboto" w:hAnsi="Roboto" w:cs="Roboto"/>
              </w:rPr>
            </w:pPr>
            <w:r>
              <w:rPr>
                <w:rFonts w:ascii="Roboto" w:eastAsia="Roboto" w:hAnsi="Roboto" w:cs="Roboto"/>
              </w:rPr>
              <w:t xml:space="preserve">accuRx always acts as a data processor in relation to patients’ data that providers share with accuRx through the use of its software services. </w:t>
            </w:r>
          </w:p>
          <w:p w14:paraId="3E2B189D" w14:textId="77777777" w:rsidR="00CA64BF" w:rsidRDefault="00CA64BF">
            <w:pPr>
              <w:spacing w:line="276" w:lineRule="auto"/>
              <w:rPr>
                <w:rFonts w:ascii="Roboto" w:eastAsia="Roboto" w:hAnsi="Roboto" w:cs="Roboto"/>
              </w:rPr>
            </w:pPr>
          </w:p>
          <w:p w14:paraId="165C259D" w14:textId="77777777" w:rsidR="00CA64BF" w:rsidRDefault="00FA3A2B">
            <w:pPr>
              <w:spacing w:line="276" w:lineRule="auto"/>
              <w:rPr>
                <w:rFonts w:ascii="Roboto" w:eastAsia="Roboto" w:hAnsi="Roboto" w:cs="Roboto"/>
              </w:rPr>
            </w:pPr>
            <w:r>
              <w:rPr>
                <w:rFonts w:ascii="Roboto" w:eastAsia="Roboto" w:hAnsi="Roboto" w:cs="Roboto"/>
              </w:rPr>
              <w:t xml:space="preserve">Health care providers’ lawful basis for processing patient data using accuRx services is </w:t>
            </w:r>
            <w:r>
              <w:rPr>
                <w:rFonts w:ascii="Roboto" w:eastAsia="Roboto" w:hAnsi="Roboto" w:cs="Roboto"/>
                <w:b/>
              </w:rPr>
              <w:t xml:space="preserve">expected </w:t>
            </w:r>
            <w:r>
              <w:rPr>
                <w:rFonts w:ascii="Roboto" w:eastAsia="Roboto" w:hAnsi="Roboto" w:cs="Roboto"/>
              </w:rPr>
              <w:t>to be:</w:t>
            </w:r>
          </w:p>
          <w:p w14:paraId="681BC50F" w14:textId="77777777" w:rsidR="00CA64BF" w:rsidRDefault="00FA3A2B">
            <w:pPr>
              <w:spacing w:line="276" w:lineRule="auto"/>
              <w:rPr>
                <w:rFonts w:ascii="Roboto" w:eastAsia="Roboto" w:hAnsi="Roboto" w:cs="Roboto"/>
              </w:rPr>
            </w:pPr>
            <w:r>
              <w:rPr>
                <w:rFonts w:ascii="Roboto" w:eastAsia="Roboto" w:hAnsi="Roboto" w:cs="Roboto"/>
              </w:rPr>
              <w:t>Article 6(1)(e) – ‘...exercise of official authority…’;</w:t>
            </w:r>
          </w:p>
          <w:p w14:paraId="0C63C62A" w14:textId="77777777" w:rsidR="00CA64BF" w:rsidRDefault="00CA64BF">
            <w:pPr>
              <w:spacing w:line="276" w:lineRule="auto"/>
              <w:rPr>
                <w:rFonts w:ascii="Roboto" w:eastAsia="Roboto" w:hAnsi="Roboto" w:cs="Roboto"/>
              </w:rPr>
            </w:pPr>
          </w:p>
          <w:p w14:paraId="6AB5FA71" w14:textId="77777777" w:rsidR="00CA64BF" w:rsidRDefault="00FA3A2B">
            <w:pPr>
              <w:spacing w:line="276" w:lineRule="auto"/>
              <w:rPr>
                <w:rFonts w:ascii="Roboto" w:eastAsia="Roboto" w:hAnsi="Roboto" w:cs="Roboto"/>
              </w:rPr>
            </w:pPr>
            <w:r>
              <w:rPr>
                <w:rFonts w:ascii="Roboto" w:eastAsia="Roboto" w:hAnsi="Roboto" w:cs="Roboto"/>
              </w:rPr>
              <w:t>And their processing of special categories (health) data using accuRx services, the conditions are expected to be:</w:t>
            </w:r>
          </w:p>
          <w:p w14:paraId="6255C24D" w14:textId="77777777" w:rsidR="00CA64BF" w:rsidRDefault="00FA3A2B">
            <w:pPr>
              <w:spacing w:line="276" w:lineRule="auto"/>
              <w:rPr>
                <w:rFonts w:ascii="Roboto" w:eastAsia="Roboto" w:hAnsi="Roboto" w:cs="Roboto"/>
              </w:rPr>
            </w:pPr>
            <w:r>
              <w:rPr>
                <w:rFonts w:ascii="Roboto" w:eastAsia="Roboto" w:hAnsi="Roboto" w:cs="Roboto"/>
              </w:rPr>
              <w:t xml:space="preserve">9(2)(h) – ‘…health or social care…’, and </w:t>
            </w:r>
          </w:p>
          <w:p w14:paraId="0F0BEA7A" w14:textId="77777777" w:rsidR="00CA64BF" w:rsidRDefault="00FA3A2B">
            <w:pPr>
              <w:spacing w:line="276" w:lineRule="auto"/>
              <w:rPr>
                <w:rFonts w:ascii="Roboto" w:eastAsia="Roboto" w:hAnsi="Roboto" w:cs="Roboto"/>
              </w:rPr>
            </w:pPr>
            <w:r>
              <w:rPr>
                <w:rFonts w:ascii="Roboto" w:eastAsia="Roboto" w:hAnsi="Roboto" w:cs="Roboto"/>
              </w:rPr>
              <w:t>9(2)(i) – ‘…public health purposes…’.</w:t>
            </w:r>
          </w:p>
          <w:p w14:paraId="572F1061" w14:textId="77777777" w:rsidR="00CA64BF" w:rsidRDefault="00CA64BF">
            <w:pPr>
              <w:spacing w:line="276" w:lineRule="auto"/>
              <w:rPr>
                <w:rFonts w:ascii="Roboto" w:eastAsia="Roboto" w:hAnsi="Roboto" w:cs="Roboto"/>
              </w:rPr>
            </w:pPr>
          </w:p>
          <w:p w14:paraId="43942CB5" w14:textId="77777777" w:rsidR="00CA64BF" w:rsidRDefault="00FA3A2B">
            <w:pPr>
              <w:spacing w:line="276" w:lineRule="auto"/>
              <w:rPr>
                <w:rFonts w:ascii="Roboto" w:eastAsia="Roboto" w:hAnsi="Roboto" w:cs="Roboto"/>
              </w:rPr>
            </w:pPr>
            <w:r>
              <w:rPr>
                <w:rFonts w:ascii="Roboto" w:eastAsia="Roboto" w:hAnsi="Roboto" w:cs="Roboto"/>
              </w:rPr>
              <w:t>For processing special categories (ethnicity) data using accuRx services, the conditions are expected to be:</w:t>
            </w:r>
          </w:p>
          <w:p w14:paraId="268402EF" w14:textId="77777777" w:rsidR="00CA64BF" w:rsidRDefault="00FA3A2B">
            <w:pPr>
              <w:spacing w:line="276" w:lineRule="auto"/>
              <w:rPr>
                <w:rFonts w:ascii="Roboto" w:eastAsia="Roboto" w:hAnsi="Roboto" w:cs="Roboto"/>
              </w:rPr>
            </w:pPr>
            <w:r>
              <w:rPr>
                <w:rFonts w:ascii="Roboto" w:eastAsia="Roboto" w:hAnsi="Roboto" w:cs="Roboto"/>
              </w:rPr>
              <w:t xml:space="preserve">9(2)(h) – ‘…health or social care…’, and </w:t>
            </w:r>
          </w:p>
          <w:p w14:paraId="317142DF" w14:textId="77777777" w:rsidR="00CA64BF" w:rsidRDefault="00FA3A2B">
            <w:pPr>
              <w:spacing w:line="276" w:lineRule="auto"/>
              <w:rPr>
                <w:rFonts w:ascii="Roboto" w:eastAsia="Roboto" w:hAnsi="Roboto" w:cs="Roboto"/>
              </w:rPr>
            </w:pPr>
            <w:r>
              <w:rPr>
                <w:rFonts w:ascii="Roboto" w:eastAsia="Roboto" w:hAnsi="Roboto" w:cs="Roboto"/>
              </w:rPr>
              <w:t>9(2)(b) – ‘…social protection law…’ (for monitoring equality of access)</w:t>
            </w:r>
          </w:p>
          <w:p w14:paraId="611F39C1" w14:textId="77777777" w:rsidR="00CA64BF" w:rsidRDefault="00CA64BF">
            <w:pPr>
              <w:spacing w:line="276" w:lineRule="auto"/>
              <w:rPr>
                <w:rFonts w:ascii="Roboto" w:eastAsia="Roboto" w:hAnsi="Roboto" w:cs="Roboto"/>
              </w:rPr>
            </w:pPr>
          </w:p>
          <w:p w14:paraId="05F78BAA" w14:textId="77777777" w:rsidR="00CA64BF" w:rsidRDefault="00FA3A2B">
            <w:pPr>
              <w:spacing w:line="276" w:lineRule="auto"/>
              <w:rPr>
                <w:rFonts w:ascii="Roboto" w:eastAsia="Roboto" w:hAnsi="Roboto" w:cs="Roboto"/>
                <w:highlight w:val="yellow"/>
              </w:rPr>
            </w:pPr>
            <w:r>
              <w:rPr>
                <w:rFonts w:ascii="Roboto" w:eastAsia="Roboto" w:hAnsi="Roboto" w:cs="Roboto"/>
              </w:rPr>
              <w:t>Anyone using accuRx for purposes beyond those set out above are likely to be misusing the software and in breach of the terms and conditions.</w:t>
            </w:r>
          </w:p>
          <w:p w14:paraId="04B5B77A" w14:textId="77777777" w:rsidR="00CA64BF" w:rsidRDefault="00FA3A2B">
            <w:pPr>
              <w:rPr>
                <w:rFonts w:ascii="Roboto" w:eastAsia="Roboto" w:hAnsi="Roboto" w:cs="Roboto"/>
              </w:rPr>
            </w:pPr>
            <w:r>
              <w:rPr>
                <w:rFonts w:ascii="Roboto" w:eastAsia="Roboto" w:hAnsi="Roboto" w:cs="Roboto"/>
              </w:rPr>
              <w:lastRenderedPageBreak/>
              <w:br/>
              <w:t xml:space="preserve">AccuRx has successfully completed NHS Data Security and Protection Toolkit assurance (under NHS ODS code 8JT17), and both the Cyber Essentials and Cyber Essentials Plus certification. Cyber Essentials is a scheme run by the UK government and the National Centre for Cyber Security to help you know that you can trust your data with a given supplier. AccuRx’s sub-processors operate based on Article 28 GDPR-compliant agreements. AccuRx data is encrypted in transit via HTTPS and </w:t>
            </w:r>
            <w:hyperlink r:id="rId29">
              <w:r>
                <w:rPr>
                  <w:rFonts w:ascii="Roboto" w:eastAsia="Roboto" w:hAnsi="Roboto" w:cs="Roboto"/>
                  <w:color w:val="1155CC"/>
                  <w:u w:val="single"/>
                </w:rPr>
                <w:t>encrypted at rest</w:t>
              </w:r>
            </w:hyperlink>
            <w:r>
              <w:rPr>
                <w:rFonts w:ascii="Roboto" w:eastAsia="Roboto" w:hAnsi="Roboto" w:cs="Roboto"/>
              </w:rPr>
              <w:t xml:space="preserve"> via TDE. AccuRx follow the Microsoft Azure Security and Compliance Blueprint for Platform-as-a-Service web applications, specifically designed for NHS services. The company’s latest credentials can be found at </w:t>
            </w:r>
            <w:hyperlink r:id="rId30">
              <w:r>
                <w:rPr>
                  <w:rFonts w:ascii="Roboto" w:eastAsia="Roboto" w:hAnsi="Roboto" w:cs="Roboto"/>
                  <w:color w:val="1155CC"/>
                  <w:u w:val="single"/>
                </w:rPr>
                <w:t>https://www.accurx.com/security-and-privacy/our-resources</w:t>
              </w:r>
            </w:hyperlink>
            <w:r>
              <w:rPr>
                <w:rFonts w:ascii="Roboto" w:eastAsia="Roboto" w:hAnsi="Roboto" w:cs="Roboto"/>
              </w:rPr>
              <w:t>.</w:t>
            </w:r>
          </w:p>
          <w:p w14:paraId="4A4C7812" w14:textId="77777777" w:rsidR="00CA64BF" w:rsidRDefault="00CA64BF">
            <w:pPr>
              <w:rPr>
                <w:rFonts w:ascii="Roboto" w:eastAsia="Roboto" w:hAnsi="Roboto" w:cs="Roboto"/>
              </w:rPr>
            </w:pPr>
          </w:p>
          <w:p w14:paraId="72A71F94" w14:textId="77777777" w:rsidR="00CA64BF" w:rsidRDefault="00CA64BF">
            <w:pPr>
              <w:rPr>
                <w:rFonts w:ascii="Roboto" w:eastAsia="Roboto" w:hAnsi="Roboto" w:cs="Roboto"/>
              </w:rPr>
            </w:pPr>
          </w:p>
          <w:p w14:paraId="10737731" w14:textId="77777777" w:rsidR="00CA64BF" w:rsidRDefault="00FA3A2B">
            <w:pPr>
              <w:rPr>
                <w:rFonts w:ascii="Roboto" w:eastAsia="Roboto" w:hAnsi="Roboto" w:cs="Roboto"/>
                <w:b/>
              </w:rPr>
            </w:pPr>
            <w:r>
              <w:rPr>
                <w:rFonts w:ascii="Roboto" w:eastAsia="Roboto" w:hAnsi="Roboto" w:cs="Roboto"/>
                <w:b/>
              </w:rPr>
              <w:t>Vaccine product</w:t>
            </w:r>
          </w:p>
          <w:p w14:paraId="38B0412F" w14:textId="77777777" w:rsidR="00CA64BF" w:rsidRDefault="00FA3A2B">
            <w:pPr>
              <w:rPr>
                <w:rFonts w:ascii="Roboto" w:eastAsia="Roboto" w:hAnsi="Roboto" w:cs="Roboto"/>
                <w:b/>
              </w:rPr>
            </w:pPr>
            <w:r>
              <w:rPr>
                <w:rFonts w:ascii="Roboto" w:eastAsia="Roboto" w:hAnsi="Roboto" w:cs="Roboto"/>
                <w:b/>
              </w:rPr>
              <w:t>Booking solution</w:t>
            </w:r>
          </w:p>
          <w:p w14:paraId="5CC16C42" w14:textId="77777777" w:rsidR="00CA64BF" w:rsidRDefault="00FA3A2B">
            <w:pPr>
              <w:rPr>
                <w:rFonts w:ascii="Roboto" w:eastAsia="Roboto" w:hAnsi="Roboto" w:cs="Roboto"/>
              </w:rPr>
            </w:pPr>
            <w:r>
              <w:rPr>
                <w:rFonts w:ascii="Roboto" w:eastAsia="Roboto" w:hAnsi="Roboto" w:cs="Roboto"/>
              </w:rPr>
              <w:t xml:space="preserve">The processing is necessary and proportional for the purposes of running a vaccination programme. The booking solution processes no more additional data items than the wider accuRx platform, other than the data relating to a patient’s booking text messages, and the slots they are booked into. Sharing across practice boundaries is necessary to support collaborate hub-style models of  </w:t>
            </w:r>
          </w:p>
          <w:p w14:paraId="0363050F" w14:textId="77777777" w:rsidR="00CA64BF" w:rsidRDefault="00CA64BF">
            <w:pPr>
              <w:rPr>
                <w:rFonts w:ascii="Roboto" w:eastAsia="Roboto" w:hAnsi="Roboto" w:cs="Roboto"/>
              </w:rPr>
            </w:pPr>
          </w:p>
          <w:p w14:paraId="08C5C534" w14:textId="77777777" w:rsidR="00CA64BF" w:rsidRDefault="00FA3A2B">
            <w:pPr>
              <w:rPr>
                <w:rFonts w:ascii="Roboto" w:eastAsia="Roboto" w:hAnsi="Roboto" w:cs="Roboto"/>
              </w:rPr>
            </w:pPr>
            <w:r>
              <w:rPr>
                <w:rFonts w:ascii="Roboto" w:eastAsia="Roboto" w:hAnsi="Roboto" w:cs="Roboto"/>
                <w:b/>
              </w:rPr>
              <w:t>Recording solution</w:t>
            </w:r>
          </w:p>
          <w:p w14:paraId="262B0A93" w14:textId="77777777" w:rsidR="00CA64BF" w:rsidRDefault="00FA3A2B">
            <w:pPr>
              <w:rPr>
                <w:rFonts w:ascii="Roboto" w:eastAsia="Roboto" w:hAnsi="Roboto" w:cs="Roboto"/>
              </w:rPr>
            </w:pPr>
            <w:r>
              <w:rPr>
                <w:rFonts w:ascii="Roboto" w:eastAsia="Roboto" w:hAnsi="Roboto" w:cs="Roboto"/>
              </w:rPr>
              <w:t>When a patient vaccination record has been created, it is safeguarded:</w:t>
            </w:r>
          </w:p>
          <w:p w14:paraId="5C416319" w14:textId="77777777" w:rsidR="00CA64BF" w:rsidRDefault="00FA3A2B">
            <w:pPr>
              <w:numPr>
                <w:ilvl w:val="0"/>
                <w:numId w:val="3"/>
              </w:numPr>
              <w:rPr>
                <w:rFonts w:ascii="Roboto" w:eastAsia="Roboto" w:hAnsi="Roboto" w:cs="Roboto"/>
              </w:rPr>
            </w:pPr>
            <w:r>
              <w:rPr>
                <w:rFonts w:ascii="Roboto" w:eastAsia="Roboto" w:hAnsi="Roboto" w:cs="Roboto"/>
              </w:rPr>
              <w:t xml:space="preserve">it is handled in line with instructions from the GP practice in line with NHS Digital standards defined by the GP IT Futures framework. </w:t>
            </w:r>
          </w:p>
          <w:p w14:paraId="53838AAD" w14:textId="77777777" w:rsidR="00CA64BF" w:rsidRDefault="00FA3A2B">
            <w:pPr>
              <w:numPr>
                <w:ilvl w:val="0"/>
                <w:numId w:val="3"/>
              </w:numPr>
              <w:rPr>
                <w:rFonts w:ascii="Roboto" w:eastAsia="Roboto" w:hAnsi="Roboto" w:cs="Roboto"/>
              </w:rPr>
            </w:pPr>
            <w:r>
              <w:rPr>
                <w:rFonts w:ascii="Roboto" w:eastAsia="Roboto" w:hAnsi="Roboto" w:cs="Roboto"/>
              </w:rPr>
              <w:t>its default retention period will be in line with that for the practices involved to administer the programme, and so it is likely that the Enhanced Service specification’s default end date is the 31st August 2021. NHS Digital guidance will further clarify this.</w:t>
            </w:r>
          </w:p>
          <w:p w14:paraId="786BEB75" w14:textId="77777777" w:rsidR="00CA64BF" w:rsidRDefault="00FA3A2B">
            <w:pPr>
              <w:numPr>
                <w:ilvl w:val="0"/>
                <w:numId w:val="3"/>
              </w:numPr>
              <w:rPr>
                <w:rFonts w:ascii="Roboto" w:eastAsia="Roboto" w:hAnsi="Roboto" w:cs="Roboto"/>
              </w:rPr>
            </w:pPr>
            <w:r>
              <w:rPr>
                <w:rFonts w:ascii="Roboto" w:eastAsia="Roboto" w:hAnsi="Roboto" w:cs="Roboto"/>
              </w:rPr>
              <w:t xml:space="preserve">the vaccination record is saved back to the clinical IT system through a standard route. When accuTrack goes live, this will involve passing the information to NHS Digital’s Data Processing Service, which will ensure saving back to the clinical record as described in the Point of Care Specification . </w:t>
            </w:r>
          </w:p>
          <w:p w14:paraId="5F34D4D3" w14:textId="77777777" w:rsidR="00CA64BF" w:rsidRDefault="00FA3A2B">
            <w:pPr>
              <w:numPr>
                <w:ilvl w:val="0"/>
                <w:numId w:val="3"/>
              </w:numPr>
              <w:rPr>
                <w:rFonts w:ascii="Roboto" w:eastAsia="Roboto" w:hAnsi="Roboto" w:cs="Roboto"/>
              </w:rPr>
            </w:pPr>
            <w:r>
              <w:rPr>
                <w:rFonts w:ascii="Roboto" w:eastAsia="Roboto" w:hAnsi="Roboto" w:cs="Roboto"/>
              </w:rPr>
              <w:t>onward sharing to NHS Digital is done at the instruction of the PCN Grouping under the terms of the collaboration agreement</w:t>
            </w:r>
          </w:p>
          <w:p w14:paraId="08D57D18" w14:textId="77777777" w:rsidR="00CA64BF" w:rsidRDefault="00FA3A2B">
            <w:pPr>
              <w:numPr>
                <w:ilvl w:val="0"/>
                <w:numId w:val="3"/>
              </w:numPr>
              <w:rPr>
                <w:rFonts w:ascii="Roboto" w:eastAsia="Roboto" w:hAnsi="Roboto" w:cs="Roboto"/>
              </w:rPr>
            </w:pPr>
            <w:r>
              <w:rPr>
                <w:rFonts w:ascii="Roboto" w:eastAsia="Roboto" w:hAnsi="Roboto" w:cs="Roboto"/>
              </w:rPr>
              <w:t>the information remains accessible and under the control of the practice only (as they are the data controller)</w:t>
            </w:r>
          </w:p>
          <w:p w14:paraId="012CBE6A" w14:textId="77777777" w:rsidR="00CA64BF" w:rsidRDefault="00CA64BF">
            <w:pPr>
              <w:rPr>
                <w:rFonts w:ascii="Roboto" w:eastAsia="Roboto" w:hAnsi="Roboto" w:cs="Roboto"/>
              </w:rPr>
            </w:pPr>
          </w:p>
        </w:tc>
      </w:tr>
    </w:tbl>
    <w:p w14:paraId="69D79BAF" w14:textId="77777777" w:rsidR="00CA64BF" w:rsidRDefault="00CA64BF">
      <w:pPr>
        <w:rPr>
          <w:rFonts w:ascii="Roboto" w:eastAsia="Roboto" w:hAnsi="Roboto" w:cs="Roboto"/>
          <w:sz w:val="24"/>
          <w:szCs w:val="24"/>
        </w:rPr>
      </w:pPr>
    </w:p>
    <w:p w14:paraId="0F7C6A06" w14:textId="77777777" w:rsidR="00CA64BF" w:rsidRDefault="00CA64BF">
      <w:pPr>
        <w:rPr>
          <w:rFonts w:ascii="Roboto" w:eastAsia="Roboto" w:hAnsi="Roboto" w:cs="Roboto"/>
          <w:sz w:val="24"/>
          <w:szCs w:val="24"/>
        </w:rPr>
      </w:pPr>
    </w:p>
    <w:p w14:paraId="32FC1117" w14:textId="77777777" w:rsidR="00CA64BF" w:rsidRDefault="00CA64BF">
      <w:pPr>
        <w:rPr>
          <w:rFonts w:ascii="Roboto" w:eastAsia="Roboto" w:hAnsi="Roboto" w:cs="Roboto"/>
          <w:sz w:val="24"/>
          <w:szCs w:val="24"/>
        </w:rPr>
      </w:pPr>
    </w:p>
    <w:p w14:paraId="0B287FF1" w14:textId="77777777" w:rsidR="00CA64BF" w:rsidRDefault="00CA64BF">
      <w:pPr>
        <w:rPr>
          <w:rFonts w:ascii="Roboto" w:eastAsia="Roboto" w:hAnsi="Roboto" w:cs="Roboto"/>
          <w:sz w:val="24"/>
          <w:szCs w:val="24"/>
        </w:rPr>
      </w:pPr>
    </w:p>
    <w:tbl>
      <w:tblPr>
        <w:tblStyle w:val="a7"/>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0"/>
        <w:gridCol w:w="1485"/>
        <w:gridCol w:w="1485"/>
        <w:gridCol w:w="1470"/>
      </w:tblGrid>
      <w:tr w:rsidR="00CA64BF" w14:paraId="2524D94B" w14:textId="77777777">
        <w:trPr>
          <w:trHeight w:val="510"/>
        </w:trPr>
        <w:tc>
          <w:tcPr>
            <w:tcW w:w="9960" w:type="dxa"/>
            <w:gridSpan w:val="4"/>
            <w:shd w:val="clear" w:color="auto" w:fill="149494"/>
          </w:tcPr>
          <w:p w14:paraId="2BC0F933" w14:textId="77777777" w:rsidR="00CA64BF" w:rsidRDefault="00FA3A2B">
            <w:pPr>
              <w:spacing w:line="276" w:lineRule="auto"/>
              <w:rPr>
                <w:rFonts w:ascii="Roboto" w:eastAsia="Roboto" w:hAnsi="Roboto" w:cs="Roboto"/>
                <w:b/>
                <w:color w:val="002060"/>
              </w:rPr>
            </w:pPr>
            <w:r>
              <w:rPr>
                <w:rFonts w:ascii="Roboto" w:eastAsia="Roboto" w:hAnsi="Roboto" w:cs="Roboto"/>
                <w:color w:val="FFFFFF"/>
                <w:sz w:val="36"/>
                <w:szCs w:val="36"/>
              </w:rPr>
              <w:t>Step 5: Identify and assess risks</w:t>
            </w:r>
          </w:p>
        </w:tc>
      </w:tr>
      <w:tr w:rsidR="00CA64BF" w14:paraId="402B57A9" w14:textId="77777777">
        <w:trPr>
          <w:trHeight w:val="860"/>
        </w:trPr>
        <w:tc>
          <w:tcPr>
            <w:tcW w:w="5520" w:type="dxa"/>
            <w:shd w:val="clear" w:color="auto" w:fill="FFFFFF"/>
          </w:tcPr>
          <w:p w14:paraId="11B0DBD4" w14:textId="77777777" w:rsidR="00CA64BF" w:rsidRDefault="00FA3A2B">
            <w:pPr>
              <w:rPr>
                <w:rFonts w:ascii="Roboto" w:eastAsia="Roboto" w:hAnsi="Roboto" w:cs="Roboto"/>
                <w:color w:val="666666"/>
              </w:rPr>
            </w:pPr>
            <w:r>
              <w:rPr>
                <w:rFonts w:ascii="Roboto" w:eastAsia="Roboto" w:hAnsi="Roboto" w:cs="Roboto"/>
                <w:b/>
                <w:color w:val="666666"/>
              </w:rPr>
              <w:t>Describe source of risk and nature of potential impact on individuals.</w:t>
            </w:r>
            <w:r>
              <w:rPr>
                <w:rFonts w:ascii="Roboto" w:eastAsia="Roboto" w:hAnsi="Roboto" w:cs="Roboto"/>
                <w:color w:val="666666"/>
              </w:rPr>
              <w:t xml:space="preserve"> Include associated compliance and corporate risks as necessary. </w:t>
            </w:r>
          </w:p>
        </w:tc>
        <w:tc>
          <w:tcPr>
            <w:tcW w:w="1485" w:type="dxa"/>
            <w:shd w:val="clear" w:color="auto" w:fill="FFFFFF"/>
          </w:tcPr>
          <w:p w14:paraId="48EE15BA" w14:textId="77777777" w:rsidR="00CA64BF" w:rsidRDefault="00FA3A2B">
            <w:pPr>
              <w:rPr>
                <w:rFonts w:ascii="Roboto" w:eastAsia="Roboto" w:hAnsi="Roboto" w:cs="Roboto"/>
                <w:b/>
                <w:color w:val="666666"/>
              </w:rPr>
            </w:pPr>
            <w:r>
              <w:rPr>
                <w:rFonts w:ascii="Roboto" w:eastAsia="Roboto" w:hAnsi="Roboto" w:cs="Roboto"/>
                <w:b/>
                <w:color w:val="666666"/>
              </w:rPr>
              <w:t>Likelihood of harm</w:t>
            </w:r>
          </w:p>
        </w:tc>
        <w:tc>
          <w:tcPr>
            <w:tcW w:w="1485" w:type="dxa"/>
            <w:shd w:val="clear" w:color="auto" w:fill="FFFFFF"/>
          </w:tcPr>
          <w:p w14:paraId="70C465DF" w14:textId="77777777" w:rsidR="00CA64BF" w:rsidRDefault="00FA3A2B">
            <w:pPr>
              <w:rPr>
                <w:rFonts w:ascii="Roboto" w:eastAsia="Roboto" w:hAnsi="Roboto" w:cs="Roboto"/>
                <w:b/>
                <w:color w:val="666666"/>
              </w:rPr>
            </w:pPr>
            <w:r>
              <w:rPr>
                <w:rFonts w:ascii="Roboto" w:eastAsia="Roboto" w:hAnsi="Roboto" w:cs="Roboto"/>
                <w:b/>
                <w:color w:val="666666"/>
              </w:rPr>
              <w:t>Severity of harm</w:t>
            </w:r>
          </w:p>
        </w:tc>
        <w:tc>
          <w:tcPr>
            <w:tcW w:w="1470" w:type="dxa"/>
            <w:shd w:val="clear" w:color="auto" w:fill="FFFFFF"/>
          </w:tcPr>
          <w:p w14:paraId="39850C08" w14:textId="77777777" w:rsidR="00CA64BF" w:rsidRDefault="00FA3A2B">
            <w:pPr>
              <w:rPr>
                <w:rFonts w:ascii="Roboto" w:eastAsia="Roboto" w:hAnsi="Roboto" w:cs="Roboto"/>
                <w:b/>
                <w:color w:val="666666"/>
              </w:rPr>
            </w:pPr>
            <w:r>
              <w:rPr>
                <w:rFonts w:ascii="Roboto" w:eastAsia="Roboto" w:hAnsi="Roboto" w:cs="Roboto"/>
                <w:b/>
                <w:color w:val="666666"/>
              </w:rPr>
              <w:t xml:space="preserve">Overall risk </w:t>
            </w:r>
          </w:p>
        </w:tc>
      </w:tr>
      <w:tr w:rsidR="00CA64BF" w14:paraId="35EB4FD5" w14:textId="77777777">
        <w:trPr>
          <w:trHeight w:val="598"/>
        </w:trPr>
        <w:tc>
          <w:tcPr>
            <w:tcW w:w="5520" w:type="dxa"/>
          </w:tcPr>
          <w:p w14:paraId="59CED68B" w14:textId="77777777" w:rsidR="00CA64BF" w:rsidRDefault="00FA3A2B">
            <w:pPr>
              <w:rPr>
                <w:rFonts w:ascii="Roboto" w:eastAsia="Roboto" w:hAnsi="Roboto" w:cs="Roboto"/>
              </w:rPr>
            </w:pPr>
            <w:r>
              <w:rPr>
                <w:rFonts w:ascii="Roboto" w:eastAsia="Roboto" w:hAnsi="Roboto" w:cs="Roboto"/>
              </w:rPr>
              <w:t>Access to Personal data by persons other than the data subject or legitimate user of the solution</w:t>
            </w:r>
          </w:p>
          <w:p w14:paraId="6F097EC4" w14:textId="77777777" w:rsidR="00CA64BF" w:rsidRDefault="00CA64BF">
            <w:pPr>
              <w:rPr>
                <w:rFonts w:ascii="Roboto" w:eastAsia="Roboto" w:hAnsi="Roboto" w:cs="Roboto"/>
              </w:rPr>
            </w:pPr>
          </w:p>
        </w:tc>
        <w:tc>
          <w:tcPr>
            <w:tcW w:w="1485" w:type="dxa"/>
          </w:tcPr>
          <w:p w14:paraId="5A511119" w14:textId="77777777" w:rsidR="00CA64BF" w:rsidRDefault="00FA3A2B">
            <w:pPr>
              <w:rPr>
                <w:rFonts w:ascii="Roboto" w:eastAsia="Roboto" w:hAnsi="Roboto" w:cs="Roboto"/>
              </w:rPr>
            </w:pPr>
            <w:r>
              <w:rPr>
                <w:rFonts w:ascii="Roboto" w:eastAsia="Roboto" w:hAnsi="Roboto" w:cs="Roboto"/>
              </w:rPr>
              <w:t>Low</w:t>
            </w:r>
          </w:p>
        </w:tc>
        <w:tc>
          <w:tcPr>
            <w:tcW w:w="1485" w:type="dxa"/>
          </w:tcPr>
          <w:p w14:paraId="7309DB7F" w14:textId="77777777" w:rsidR="00CA64BF" w:rsidRDefault="00FA3A2B">
            <w:pPr>
              <w:rPr>
                <w:rFonts w:ascii="Roboto" w:eastAsia="Roboto" w:hAnsi="Roboto" w:cs="Roboto"/>
              </w:rPr>
            </w:pPr>
            <w:r>
              <w:rPr>
                <w:rFonts w:ascii="Roboto" w:eastAsia="Roboto" w:hAnsi="Roboto" w:cs="Roboto"/>
              </w:rPr>
              <w:t xml:space="preserve">Significant </w:t>
            </w:r>
          </w:p>
        </w:tc>
        <w:tc>
          <w:tcPr>
            <w:tcW w:w="1470" w:type="dxa"/>
          </w:tcPr>
          <w:p w14:paraId="5C369B29" w14:textId="77777777" w:rsidR="00CA64BF" w:rsidRDefault="00FA3A2B">
            <w:pPr>
              <w:rPr>
                <w:rFonts w:ascii="Roboto" w:eastAsia="Roboto" w:hAnsi="Roboto" w:cs="Roboto"/>
              </w:rPr>
            </w:pPr>
            <w:r>
              <w:rPr>
                <w:rFonts w:ascii="Roboto" w:eastAsia="Roboto" w:hAnsi="Roboto" w:cs="Roboto"/>
              </w:rPr>
              <w:t>Low</w:t>
            </w:r>
          </w:p>
        </w:tc>
      </w:tr>
      <w:tr w:rsidR="00CA64BF" w14:paraId="47EA43CD" w14:textId="77777777">
        <w:trPr>
          <w:trHeight w:val="70"/>
        </w:trPr>
        <w:tc>
          <w:tcPr>
            <w:tcW w:w="5520" w:type="dxa"/>
          </w:tcPr>
          <w:p w14:paraId="1F62735A" w14:textId="77777777" w:rsidR="00CA64BF" w:rsidRDefault="00FA3A2B">
            <w:pPr>
              <w:rPr>
                <w:rFonts w:ascii="Roboto" w:eastAsia="Roboto" w:hAnsi="Roboto" w:cs="Roboto"/>
              </w:rPr>
            </w:pPr>
            <w:r>
              <w:rPr>
                <w:rFonts w:ascii="Roboto" w:eastAsia="Roboto" w:hAnsi="Roboto" w:cs="Roboto"/>
              </w:rPr>
              <w:t>The integrity of the computers used (how at risk are they from trojans or viruses)</w:t>
            </w:r>
          </w:p>
          <w:p w14:paraId="1EEFF66D" w14:textId="77777777" w:rsidR="00CA64BF" w:rsidRDefault="00CA64BF">
            <w:pPr>
              <w:rPr>
                <w:rFonts w:ascii="Roboto" w:eastAsia="Roboto" w:hAnsi="Roboto" w:cs="Roboto"/>
              </w:rPr>
            </w:pPr>
          </w:p>
        </w:tc>
        <w:tc>
          <w:tcPr>
            <w:tcW w:w="1485" w:type="dxa"/>
          </w:tcPr>
          <w:p w14:paraId="76CD65F2" w14:textId="77777777" w:rsidR="00CA64BF" w:rsidRDefault="00FA3A2B">
            <w:pPr>
              <w:rPr>
                <w:rFonts w:ascii="Roboto" w:eastAsia="Roboto" w:hAnsi="Roboto" w:cs="Roboto"/>
              </w:rPr>
            </w:pPr>
            <w:r>
              <w:rPr>
                <w:rFonts w:ascii="Roboto" w:eastAsia="Roboto" w:hAnsi="Roboto" w:cs="Roboto"/>
              </w:rPr>
              <w:t>Low</w:t>
            </w:r>
          </w:p>
        </w:tc>
        <w:tc>
          <w:tcPr>
            <w:tcW w:w="1485" w:type="dxa"/>
          </w:tcPr>
          <w:p w14:paraId="40CCF784" w14:textId="77777777" w:rsidR="00CA64BF" w:rsidRDefault="00FA3A2B">
            <w:pPr>
              <w:rPr>
                <w:rFonts w:ascii="Roboto" w:eastAsia="Roboto" w:hAnsi="Roboto" w:cs="Roboto"/>
              </w:rPr>
            </w:pPr>
            <w:r>
              <w:rPr>
                <w:rFonts w:ascii="Roboto" w:eastAsia="Roboto" w:hAnsi="Roboto" w:cs="Roboto"/>
              </w:rPr>
              <w:t>Minor</w:t>
            </w:r>
          </w:p>
        </w:tc>
        <w:tc>
          <w:tcPr>
            <w:tcW w:w="1470" w:type="dxa"/>
          </w:tcPr>
          <w:p w14:paraId="12404D83" w14:textId="77777777" w:rsidR="00CA64BF" w:rsidRDefault="00FA3A2B">
            <w:pPr>
              <w:rPr>
                <w:rFonts w:ascii="Roboto" w:eastAsia="Roboto" w:hAnsi="Roboto" w:cs="Roboto"/>
              </w:rPr>
            </w:pPr>
            <w:r>
              <w:rPr>
                <w:rFonts w:ascii="Roboto" w:eastAsia="Roboto" w:hAnsi="Roboto" w:cs="Roboto"/>
              </w:rPr>
              <w:t>Low</w:t>
            </w:r>
          </w:p>
        </w:tc>
      </w:tr>
      <w:tr w:rsidR="00CA64BF" w14:paraId="2626B4C7" w14:textId="77777777">
        <w:trPr>
          <w:trHeight w:val="70"/>
        </w:trPr>
        <w:tc>
          <w:tcPr>
            <w:tcW w:w="5520" w:type="dxa"/>
          </w:tcPr>
          <w:p w14:paraId="0137E592" w14:textId="77777777" w:rsidR="00CA64BF" w:rsidRDefault="00FA3A2B">
            <w:pPr>
              <w:rPr>
                <w:rFonts w:ascii="Roboto" w:eastAsia="Roboto" w:hAnsi="Roboto" w:cs="Roboto"/>
              </w:rPr>
            </w:pPr>
            <w:r>
              <w:rPr>
                <w:rFonts w:ascii="Roboto" w:eastAsia="Roboto" w:hAnsi="Roboto" w:cs="Roboto"/>
              </w:rPr>
              <w:t>Patients impersonating eligible patients in order to receive the Covid-19 vaccine</w:t>
            </w:r>
          </w:p>
        </w:tc>
        <w:tc>
          <w:tcPr>
            <w:tcW w:w="1485" w:type="dxa"/>
          </w:tcPr>
          <w:p w14:paraId="586EBA33" w14:textId="77777777" w:rsidR="00CA64BF" w:rsidRDefault="00FA3A2B">
            <w:pPr>
              <w:rPr>
                <w:rFonts w:ascii="Roboto" w:eastAsia="Roboto" w:hAnsi="Roboto" w:cs="Roboto"/>
              </w:rPr>
            </w:pPr>
            <w:r>
              <w:rPr>
                <w:rFonts w:ascii="Roboto" w:eastAsia="Roboto" w:hAnsi="Roboto" w:cs="Roboto"/>
              </w:rPr>
              <w:t>Low</w:t>
            </w:r>
          </w:p>
        </w:tc>
        <w:tc>
          <w:tcPr>
            <w:tcW w:w="1485" w:type="dxa"/>
          </w:tcPr>
          <w:p w14:paraId="2AEA1E28" w14:textId="77777777" w:rsidR="00CA64BF" w:rsidRDefault="00FA3A2B">
            <w:pPr>
              <w:rPr>
                <w:rFonts w:ascii="Roboto" w:eastAsia="Roboto" w:hAnsi="Roboto" w:cs="Roboto"/>
              </w:rPr>
            </w:pPr>
            <w:r>
              <w:rPr>
                <w:rFonts w:ascii="Roboto" w:eastAsia="Roboto" w:hAnsi="Roboto" w:cs="Roboto"/>
              </w:rPr>
              <w:t>Low</w:t>
            </w:r>
          </w:p>
        </w:tc>
        <w:tc>
          <w:tcPr>
            <w:tcW w:w="1470" w:type="dxa"/>
          </w:tcPr>
          <w:p w14:paraId="7293AB7C" w14:textId="77777777" w:rsidR="00CA64BF" w:rsidRDefault="00FA3A2B">
            <w:pPr>
              <w:rPr>
                <w:rFonts w:ascii="Roboto" w:eastAsia="Roboto" w:hAnsi="Roboto" w:cs="Roboto"/>
              </w:rPr>
            </w:pPr>
            <w:r>
              <w:rPr>
                <w:rFonts w:ascii="Roboto" w:eastAsia="Roboto" w:hAnsi="Roboto" w:cs="Roboto"/>
              </w:rPr>
              <w:t>Low</w:t>
            </w:r>
          </w:p>
        </w:tc>
      </w:tr>
      <w:tr w:rsidR="00CA64BF" w14:paraId="671D5756" w14:textId="77777777">
        <w:trPr>
          <w:trHeight w:val="70"/>
        </w:trPr>
        <w:tc>
          <w:tcPr>
            <w:tcW w:w="5520" w:type="dxa"/>
          </w:tcPr>
          <w:p w14:paraId="35F1EC2B" w14:textId="77777777" w:rsidR="00CA64BF" w:rsidRDefault="00CA64BF">
            <w:pPr>
              <w:rPr>
                <w:rFonts w:ascii="Roboto" w:eastAsia="Roboto" w:hAnsi="Roboto" w:cs="Roboto"/>
              </w:rPr>
            </w:pPr>
          </w:p>
        </w:tc>
        <w:tc>
          <w:tcPr>
            <w:tcW w:w="1485" w:type="dxa"/>
          </w:tcPr>
          <w:p w14:paraId="1CFDF81A" w14:textId="77777777" w:rsidR="00CA64BF" w:rsidRDefault="00CA64BF">
            <w:pPr>
              <w:rPr>
                <w:rFonts w:ascii="Roboto" w:eastAsia="Roboto" w:hAnsi="Roboto" w:cs="Roboto"/>
              </w:rPr>
            </w:pPr>
          </w:p>
        </w:tc>
        <w:tc>
          <w:tcPr>
            <w:tcW w:w="1485" w:type="dxa"/>
          </w:tcPr>
          <w:p w14:paraId="5623C60D" w14:textId="77777777" w:rsidR="00CA64BF" w:rsidRDefault="00CA64BF">
            <w:pPr>
              <w:rPr>
                <w:rFonts w:ascii="Roboto" w:eastAsia="Roboto" w:hAnsi="Roboto" w:cs="Roboto"/>
              </w:rPr>
            </w:pPr>
          </w:p>
        </w:tc>
        <w:tc>
          <w:tcPr>
            <w:tcW w:w="1470" w:type="dxa"/>
          </w:tcPr>
          <w:p w14:paraId="3571BAF0" w14:textId="77777777" w:rsidR="00CA64BF" w:rsidRDefault="00CA64BF">
            <w:pPr>
              <w:rPr>
                <w:rFonts w:ascii="Roboto" w:eastAsia="Roboto" w:hAnsi="Roboto" w:cs="Roboto"/>
              </w:rPr>
            </w:pPr>
          </w:p>
        </w:tc>
      </w:tr>
      <w:tr w:rsidR="00CA64BF" w14:paraId="4E016AF8" w14:textId="77777777">
        <w:trPr>
          <w:trHeight w:val="70"/>
        </w:trPr>
        <w:tc>
          <w:tcPr>
            <w:tcW w:w="5520" w:type="dxa"/>
          </w:tcPr>
          <w:p w14:paraId="6BAC6963" w14:textId="77777777" w:rsidR="00CA64BF" w:rsidRDefault="00CA64BF">
            <w:pPr>
              <w:rPr>
                <w:rFonts w:ascii="Roboto" w:eastAsia="Roboto" w:hAnsi="Roboto" w:cs="Roboto"/>
              </w:rPr>
            </w:pPr>
          </w:p>
        </w:tc>
        <w:tc>
          <w:tcPr>
            <w:tcW w:w="1485" w:type="dxa"/>
          </w:tcPr>
          <w:p w14:paraId="5053F16D" w14:textId="77777777" w:rsidR="00CA64BF" w:rsidRDefault="00CA64BF">
            <w:pPr>
              <w:rPr>
                <w:rFonts w:ascii="Roboto" w:eastAsia="Roboto" w:hAnsi="Roboto" w:cs="Roboto"/>
              </w:rPr>
            </w:pPr>
          </w:p>
        </w:tc>
        <w:tc>
          <w:tcPr>
            <w:tcW w:w="1485" w:type="dxa"/>
          </w:tcPr>
          <w:p w14:paraId="3F61C32E" w14:textId="77777777" w:rsidR="00CA64BF" w:rsidRDefault="00CA64BF">
            <w:pPr>
              <w:rPr>
                <w:rFonts w:ascii="Roboto" w:eastAsia="Roboto" w:hAnsi="Roboto" w:cs="Roboto"/>
              </w:rPr>
            </w:pPr>
          </w:p>
        </w:tc>
        <w:tc>
          <w:tcPr>
            <w:tcW w:w="1470" w:type="dxa"/>
          </w:tcPr>
          <w:p w14:paraId="24899AB9" w14:textId="77777777" w:rsidR="00CA64BF" w:rsidRDefault="00CA64BF">
            <w:pPr>
              <w:rPr>
                <w:rFonts w:ascii="Roboto" w:eastAsia="Roboto" w:hAnsi="Roboto" w:cs="Roboto"/>
              </w:rPr>
            </w:pPr>
          </w:p>
        </w:tc>
      </w:tr>
      <w:tr w:rsidR="00CA64BF" w14:paraId="419DFDAC" w14:textId="77777777">
        <w:trPr>
          <w:trHeight w:val="70"/>
        </w:trPr>
        <w:tc>
          <w:tcPr>
            <w:tcW w:w="5520" w:type="dxa"/>
          </w:tcPr>
          <w:p w14:paraId="27719C0A" w14:textId="77777777" w:rsidR="00CA64BF" w:rsidRDefault="00CA64BF">
            <w:pPr>
              <w:rPr>
                <w:rFonts w:ascii="Roboto" w:eastAsia="Roboto" w:hAnsi="Roboto" w:cs="Roboto"/>
              </w:rPr>
            </w:pPr>
          </w:p>
        </w:tc>
        <w:tc>
          <w:tcPr>
            <w:tcW w:w="1485" w:type="dxa"/>
          </w:tcPr>
          <w:p w14:paraId="4C7BED58" w14:textId="77777777" w:rsidR="00CA64BF" w:rsidRDefault="00CA64BF">
            <w:pPr>
              <w:rPr>
                <w:rFonts w:ascii="Roboto" w:eastAsia="Roboto" w:hAnsi="Roboto" w:cs="Roboto"/>
              </w:rPr>
            </w:pPr>
          </w:p>
        </w:tc>
        <w:tc>
          <w:tcPr>
            <w:tcW w:w="1485" w:type="dxa"/>
          </w:tcPr>
          <w:p w14:paraId="494D2E46" w14:textId="77777777" w:rsidR="00CA64BF" w:rsidRDefault="00CA64BF">
            <w:pPr>
              <w:rPr>
                <w:rFonts w:ascii="Roboto" w:eastAsia="Roboto" w:hAnsi="Roboto" w:cs="Roboto"/>
              </w:rPr>
            </w:pPr>
          </w:p>
        </w:tc>
        <w:tc>
          <w:tcPr>
            <w:tcW w:w="1470" w:type="dxa"/>
          </w:tcPr>
          <w:p w14:paraId="30F4FD16" w14:textId="77777777" w:rsidR="00CA64BF" w:rsidRDefault="00CA64BF">
            <w:pPr>
              <w:rPr>
                <w:rFonts w:ascii="Roboto" w:eastAsia="Roboto" w:hAnsi="Roboto" w:cs="Roboto"/>
              </w:rPr>
            </w:pPr>
          </w:p>
        </w:tc>
      </w:tr>
      <w:tr w:rsidR="00CA64BF" w14:paraId="15E042A0" w14:textId="77777777">
        <w:trPr>
          <w:trHeight w:val="70"/>
        </w:trPr>
        <w:tc>
          <w:tcPr>
            <w:tcW w:w="5520" w:type="dxa"/>
          </w:tcPr>
          <w:p w14:paraId="651990AA" w14:textId="77777777" w:rsidR="00CA64BF" w:rsidRDefault="00CA64BF">
            <w:pPr>
              <w:rPr>
                <w:rFonts w:ascii="Roboto" w:eastAsia="Roboto" w:hAnsi="Roboto" w:cs="Roboto"/>
              </w:rPr>
            </w:pPr>
          </w:p>
        </w:tc>
        <w:tc>
          <w:tcPr>
            <w:tcW w:w="1485" w:type="dxa"/>
          </w:tcPr>
          <w:p w14:paraId="20CFBA27" w14:textId="77777777" w:rsidR="00CA64BF" w:rsidRDefault="00CA64BF">
            <w:pPr>
              <w:rPr>
                <w:rFonts w:ascii="Roboto" w:eastAsia="Roboto" w:hAnsi="Roboto" w:cs="Roboto"/>
              </w:rPr>
            </w:pPr>
          </w:p>
        </w:tc>
        <w:tc>
          <w:tcPr>
            <w:tcW w:w="1485" w:type="dxa"/>
          </w:tcPr>
          <w:p w14:paraId="5C252F53" w14:textId="77777777" w:rsidR="00CA64BF" w:rsidRDefault="00CA64BF">
            <w:pPr>
              <w:rPr>
                <w:rFonts w:ascii="Roboto" w:eastAsia="Roboto" w:hAnsi="Roboto" w:cs="Roboto"/>
              </w:rPr>
            </w:pPr>
          </w:p>
        </w:tc>
        <w:tc>
          <w:tcPr>
            <w:tcW w:w="1470" w:type="dxa"/>
          </w:tcPr>
          <w:p w14:paraId="19957618" w14:textId="77777777" w:rsidR="00CA64BF" w:rsidRDefault="00CA64BF">
            <w:pPr>
              <w:rPr>
                <w:rFonts w:ascii="Roboto" w:eastAsia="Roboto" w:hAnsi="Roboto" w:cs="Roboto"/>
              </w:rPr>
            </w:pPr>
          </w:p>
        </w:tc>
      </w:tr>
      <w:tr w:rsidR="00CA64BF" w14:paraId="4F14F0CB" w14:textId="77777777">
        <w:trPr>
          <w:trHeight w:val="70"/>
        </w:trPr>
        <w:tc>
          <w:tcPr>
            <w:tcW w:w="5520" w:type="dxa"/>
          </w:tcPr>
          <w:p w14:paraId="5768A7AD" w14:textId="77777777" w:rsidR="00CA64BF" w:rsidRDefault="00CA64BF">
            <w:pPr>
              <w:rPr>
                <w:rFonts w:ascii="Roboto" w:eastAsia="Roboto" w:hAnsi="Roboto" w:cs="Roboto"/>
              </w:rPr>
            </w:pPr>
          </w:p>
        </w:tc>
        <w:tc>
          <w:tcPr>
            <w:tcW w:w="1485" w:type="dxa"/>
          </w:tcPr>
          <w:p w14:paraId="64F5707C" w14:textId="77777777" w:rsidR="00CA64BF" w:rsidRDefault="00CA64BF">
            <w:pPr>
              <w:rPr>
                <w:rFonts w:ascii="Roboto" w:eastAsia="Roboto" w:hAnsi="Roboto" w:cs="Roboto"/>
              </w:rPr>
            </w:pPr>
          </w:p>
        </w:tc>
        <w:tc>
          <w:tcPr>
            <w:tcW w:w="1485" w:type="dxa"/>
          </w:tcPr>
          <w:p w14:paraId="36E940AE" w14:textId="77777777" w:rsidR="00CA64BF" w:rsidRDefault="00CA64BF">
            <w:pPr>
              <w:rPr>
                <w:rFonts w:ascii="Roboto" w:eastAsia="Roboto" w:hAnsi="Roboto" w:cs="Roboto"/>
              </w:rPr>
            </w:pPr>
          </w:p>
        </w:tc>
        <w:tc>
          <w:tcPr>
            <w:tcW w:w="1470" w:type="dxa"/>
          </w:tcPr>
          <w:p w14:paraId="2D6321D0" w14:textId="77777777" w:rsidR="00CA64BF" w:rsidRDefault="00CA64BF">
            <w:pPr>
              <w:rPr>
                <w:rFonts w:ascii="Roboto" w:eastAsia="Roboto" w:hAnsi="Roboto" w:cs="Roboto"/>
              </w:rPr>
            </w:pPr>
          </w:p>
        </w:tc>
      </w:tr>
    </w:tbl>
    <w:p w14:paraId="7166797B" w14:textId="77777777" w:rsidR="00CA64BF" w:rsidRDefault="00CA64BF">
      <w:pPr>
        <w:rPr>
          <w:rFonts w:ascii="Roboto" w:eastAsia="Roboto" w:hAnsi="Roboto" w:cs="Roboto"/>
          <w:color w:val="FFFFFF"/>
          <w:sz w:val="36"/>
          <w:szCs w:val="36"/>
        </w:rPr>
      </w:pPr>
    </w:p>
    <w:p w14:paraId="034F4671" w14:textId="77777777" w:rsidR="00CA64BF" w:rsidRDefault="00CA64BF">
      <w:pPr>
        <w:spacing w:line="240" w:lineRule="auto"/>
        <w:rPr>
          <w:rFonts w:ascii="Roboto" w:eastAsia="Roboto" w:hAnsi="Roboto" w:cs="Roboto"/>
          <w:b/>
          <w:sz w:val="20"/>
          <w:szCs w:val="20"/>
          <w:u w:val="single"/>
        </w:rPr>
      </w:pPr>
    </w:p>
    <w:p w14:paraId="134E201D" w14:textId="77777777" w:rsidR="00CA64BF" w:rsidRDefault="00CA64BF">
      <w:pPr>
        <w:spacing w:line="240" w:lineRule="auto"/>
        <w:rPr>
          <w:rFonts w:ascii="Roboto" w:eastAsia="Roboto" w:hAnsi="Roboto" w:cs="Roboto"/>
          <w:b/>
          <w:sz w:val="20"/>
          <w:szCs w:val="20"/>
          <w:u w:val="single"/>
        </w:rPr>
      </w:pPr>
    </w:p>
    <w:p w14:paraId="3732C1D1" w14:textId="77777777" w:rsidR="00CA64BF" w:rsidRDefault="00CA64BF">
      <w:pPr>
        <w:spacing w:line="240" w:lineRule="auto"/>
        <w:rPr>
          <w:rFonts w:ascii="Roboto" w:eastAsia="Roboto" w:hAnsi="Roboto" w:cs="Roboto"/>
          <w:b/>
          <w:sz w:val="20"/>
          <w:szCs w:val="20"/>
          <w:u w:val="single"/>
        </w:rPr>
      </w:pPr>
    </w:p>
    <w:p w14:paraId="31425222" w14:textId="77777777" w:rsidR="00CA64BF" w:rsidRDefault="00CA64BF">
      <w:pPr>
        <w:spacing w:line="240" w:lineRule="auto"/>
        <w:rPr>
          <w:rFonts w:ascii="Roboto" w:eastAsia="Roboto" w:hAnsi="Roboto" w:cs="Roboto"/>
          <w:b/>
          <w:sz w:val="20"/>
          <w:szCs w:val="20"/>
          <w:u w:val="single"/>
        </w:rPr>
      </w:pPr>
    </w:p>
    <w:p w14:paraId="5855A8B5" w14:textId="77777777" w:rsidR="00CA64BF" w:rsidRDefault="00CA64BF">
      <w:pPr>
        <w:spacing w:line="240" w:lineRule="auto"/>
        <w:rPr>
          <w:rFonts w:ascii="Roboto" w:eastAsia="Roboto" w:hAnsi="Roboto" w:cs="Roboto"/>
          <w:b/>
          <w:sz w:val="20"/>
          <w:szCs w:val="20"/>
          <w:u w:val="single"/>
        </w:rPr>
      </w:pPr>
    </w:p>
    <w:p w14:paraId="69361718" w14:textId="77777777" w:rsidR="00CA64BF" w:rsidRDefault="00CA64BF">
      <w:pPr>
        <w:spacing w:line="240" w:lineRule="auto"/>
        <w:rPr>
          <w:rFonts w:ascii="Roboto" w:eastAsia="Roboto" w:hAnsi="Roboto" w:cs="Roboto"/>
          <w:b/>
          <w:sz w:val="20"/>
          <w:szCs w:val="20"/>
          <w:u w:val="single"/>
        </w:rPr>
      </w:pPr>
    </w:p>
    <w:p w14:paraId="5B20F0C6" w14:textId="77777777" w:rsidR="00CA64BF" w:rsidRDefault="00CA64BF">
      <w:pPr>
        <w:spacing w:line="240" w:lineRule="auto"/>
        <w:rPr>
          <w:rFonts w:ascii="Roboto" w:eastAsia="Roboto" w:hAnsi="Roboto" w:cs="Roboto"/>
          <w:b/>
          <w:sz w:val="20"/>
          <w:szCs w:val="20"/>
          <w:u w:val="single"/>
        </w:rPr>
      </w:pPr>
    </w:p>
    <w:p w14:paraId="19C1BBD7" w14:textId="77777777" w:rsidR="00CA64BF" w:rsidRDefault="00CA64BF">
      <w:pPr>
        <w:spacing w:line="240" w:lineRule="auto"/>
        <w:rPr>
          <w:rFonts w:ascii="Roboto" w:eastAsia="Roboto" w:hAnsi="Roboto" w:cs="Roboto"/>
          <w:b/>
          <w:sz w:val="20"/>
          <w:szCs w:val="20"/>
          <w:u w:val="single"/>
        </w:rPr>
      </w:pPr>
    </w:p>
    <w:p w14:paraId="384FEDC3" w14:textId="77777777" w:rsidR="00CA64BF" w:rsidRDefault="00CA64BF">
      <w:pPr>
        <w:spacing w:line="240" w:lineRule="auto"/>
        <w:rPr>
          <w:rFonts w:ascii="Roboto" w:eastAsia="Roboto" w:hAnsi="Roboto" w:cs="Roboto"/>
          <w:b/>
          <w:sz w:val="20"/>
          <w:szCs w:val="20"/>
          <w:u w:val="single"/>
        </w:rPr>
      </w:pPr>
    </w:p>
    <w:p w14:paraId="6D6136B1" w14:textId="77777777" w:rsidR="00CA64BF" w:rsidRDefault="00CA64BF">
      <w:pPr>
        <w:rPr>
          <w:rFonts w:ascii="Roboto" w:eastAsia="Roboto" w:hAnsi="Roboto" w:cs="Roboto"/>
          <w:color w:val="FFFFFF"/>
          <w:sz w:val="36"/>
          <w:szCs w:val="36"/>
        </w:rPr>
      </w:pPr>
    </w:p>
    <w:tbl>
      <w:tblPr>
        <w:tblStyle w:val="a8"/>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1"/>
        <w:gridCol w:w="2852"/>
        <w:gridCol w:w="1377"/>
        <w:gridCol w:w="1273"/>
        <w:gridCol w:w="1417"/>
      </w:tblGrid>
      <w:tr w:rsidR="00CA64BF" w14:paraId="43A01C7E" w14:textId="77777777">
        <w:tc>
          <w:tcPr>
            <w:tcW w:w="9770" w:type="dxa"/>
            <w:gridSpan w:val="5"/>
            <w:shd w:val="clear" w:color="auto" w:fill="149494"/>
          </w:tcPr>
          <w:p w14:paraId="457C10DF" w14:textId="77777777" w:rsidR="00CA64BF" w:rsidRDefault="00FA3A2B">
            <w:pPr>
              <w:spacing w:line="276" w:lineRule="auto"/>
              <w:rPr>
                <w:rFonts w:ascii="Roboto" w:eastAsia="Roboto" w:hAnsi="Roboto" w:cs="Roboto"/>
                <w:b/>
                <w:color w:val="002060"/>
              </w:rPr>
            </w:pPr>
            <w:r>
              <w:rPr>
                <w:rFonts w:ascii="Roboto" w:eastAsia="Roboto" w:hAnsi="Roboto" w:cs="Roboto"/>
                <w:color w:val="FFFFFF"/>
                <w:sz w:val="36"/>
                <w:szCs w:val="36"/>
              </w:rPr>
              <w:t>Step 6: Identify measures to reduce risk</w:t>
            </w:r>
          </w:p>
        </w:tc>
      </w:tr>
      <w:tr w:rsidR="00CA64BF" w14:paraId="5E9E0EE2" w14:textId="77777777">
        <w:tc>
          <w:tcPr>
            <w:tcW w:w="9770" w:type="dxa"/>
            <w:gridSpan w:val="5"/>
          </w:tcPr>
          <w:p w14:paraId="7071F3AC"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t>Identify additional measures you could take to reduce or eliminate risks identified as medium or high risk in step 5</w:t>
            </w:r>
          </w:p>
        </w:tc>
      </w:tr>
      <w:tr w:rsidR="00CA64BF" w14:paraId="311C444B" w14:textId="77777777">
        <w:tc>
          <w:tcPr>
            <w:tcW w:w="2851" w:type="dxa"/>
            <w:shd w:val="clear" w:color="auto" w:fill="FFFFFF"/>
          </w:tcPr>
          <w:p w14:paraId="70ADE89D"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lastRenderedPageBreak/>
              <w:t xml:space="preserve">Risk </w:t>
            </w:r>
          </w:p>
        </w:tc>
        <w:tc>
          <w:tcPr>
            <w:tcW w:w="2852" w:type="dxa"/>
            <w:shd w:val="clear" w:color="auto" w:fill="FFFFFF"/>
          </w:tcPr>
          <w:p w14:paraId="5AC1BA2E"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t>Options to reduce or eliminate risk</w:t>
            </w:r>
          </w:p>
        </w:tc>
        <w:tc>
          <w:tcPr>
            <w:tcW w:w="1377" w:type="dxa"/>
            <w:shd w:val="clear" w:color="auto" w:fill="FFFFFF"/>
          </w:tcPr>
          <w:p w14:paraId="55106D52"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t>Effect on risk</w:t>
            </w:r>
          </w:p>
        </w:tc>
        <w:tc>
          <w:tcPr>
            <w:tcW w:w="1273" w:type="dxa"/>
            <w:shd w:val="clear" w:color="auto" w:fill="FFFFFF"/>
          </w:tcPr>
          <w:p w14:paraId="723ED13B"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t>Residual risk</w:t>
            </w:r>
          </w:p>
        </w:tc>
        <w:tc>
          <w:tcPr>
            <w:tcW w:w="1417" w:type="dxa"/>
            <w:shd w:val="clear" w:color="auto" w:fill="FFFFFF"/>
          </w:tcPr>
          <w:p w14:paraId="6EEDBA98"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t>Measure approved</w:t>
            </w:r>
          </w:p>
        </w:tc>
      </w:tr>
      <w:tr w:rsidR="00CA64BF" w14:paraId="1E766308" w14:textId="77777777">
        <w:trPr>
          <w:trHeight w:val="1205"/>
        </w:trPr>
        <w:tc>
          <w:tcPr>
            <w:tcW w:w="2851" w:type="dxa"/>
          </w:tcPr>
          <w:p w14:paraId="2474BA74" w14:textId="77777777" w:rsidR="00CA64BF" w:rsidRDefault="00FA3A2B">
            <w:pPr>
              <w:rPr>
                <w:rFonts w:ascii="Roboto" w:eastAsia="Roboto" w:hAnsi="Roboto" w:cs="Roboto"/>
              </w:rPr>
            </w:pPr>
            <w:r>
              <w:rPr>
                <w:rFonts w:ascii="Roboto" w:eastAsia="Roboto" w:hAnsi="Roboto" w:cs="Roboto"/>
              </w:rPr>
              <w:t>Access to Personal data by persons other than the data subject or legitimate user of the solution</w:t>
            </w:r>
          </w:p>
        </w:tc>
        <w:tc>
          <w:tcPr>
            <w:tcW w:w="2852" w:type="dxa"/>
          </w:tcPr>
          <w:p w14:paraId="2D21B960"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Healthcare professionals are authenticated by requiring: NHSmail to register for an account; TPP SystmOne or EMIS Web profiles; and, an administrator at their GP practice to approve them. This is to prevent people who do not actually and currently work at the provider organisation from accessing the accuRx system.</w:t>
            </w:r>
          </w:p>
          <w:p w14:paraId="01D16B6D" w14:textId="77777777" w:rsidR="00CA64BF" w:rsidRDefault="00CA64BF">
            <w:pPr>
              <w:pBdr>
                <w:top w:val="nil"/>
                <w:left w:val="nil"/>
                <w:bottom w:val="nil"/>
                <w:right w:val="nil"/>
                <w:between w:val="nil"/>
              </w:pBdr>
              <w:rPr>
                <w:rFonts w:ascii="Roboto" w:eastAsia="Roboto" w:hAnsi="Roboto" w:cs="Roboto"/>
              </w:rPr>
            </w:pPr>
          </w:p>
          <w:p w14:paraId="5A12D604"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Patient demographic data is only pulled from either TPP SystmOne or EMIS Web principal care systems. This ensures that a healthcare professional can only access data of patients registered at their practice or those covered by the Collaboration Agreement.</w:t>
            </w:r>
          </w:p>
          <w:p w14:paraId="1FA931BF" w14:textId="77777777" w:rsidR="00CA64BF" w:rsidRDefault="00CA64BF">
            <w:pPr>
              <w:pBdr>
                <w:top w:val="nil"/>
                <w:left w:val="nil"/>
                <w:bottom w:val="nil"/>
                <w:right w:val="nil"/>
                <w:between w:val="nil"/>
              </w:pBdr>
              <w:rPr>
                <w:rFonts w:ascii="Roboto" w:eastAsia="Roboto" w:hAnsi="Roboto" w:cs="Roboto"/>
              </w:rPr>
            </w:pPr>
          </w:p>
          <w:p w14:paraId="38E63225" w14:textId="77777777" w:rsidR="00CA64BF" w:rsidRDefault="00FA3A2B">
            <w:pPr>
              <w:rPr>
                <w:rFonts w:ascii="Roboto" w:eastAsia="Roboto" w:hAnsi="Roboto" w:cs="Roboto"/>
              </w:rPr>
            </w:pPr>
            <w:r>
              <w:rPr>
                <w:rFonts w:ascii="Roboto" w:eastAsia="Roboto" w:hAnsi="Roboto" w:cs="Roboto"/>
              </w:rPr>
              <w:t>Mobile devices with web access controlled on-site. Standard security features and procedures (e.g. auto-locking and passcodes) of these devices will be used to limit access to their contents by non-staff.</w:t>
            </w:r>
          </w:p>
        </w:tc>
        <w:tc>
          <w:tcPr>
            <w:tcW w:w="1377" w:type="dxa"/>
          </w:tcPr>
          <w:p w14:paraId="721E9366"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Reduced</w:t>
            </w:r>
          </w:p>
        </w:tc>
        <w:tc>
          <w:tcPr>
            <w:tcW w:w="1273" w:type="dxa"/>
          </w:tcPr>
          <w:p w14:paraId="1A09A7B8"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 xml:space="preserve">Low </w:t>
            </w:r>
          </w:p>
        </w:tc>
        <w:tc>
          <w:tcPr>
            <w:tcW w:w="1417" w:type="dxa"/>
          </w:tcPr>
          <w:p w14:paraId="7F73F477"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Yes</w:t>
            </w:r>
          </w:p>
        </w:tc>
      </w:tr>
      <w:tr w:rsidR="00CA64BF" w14:paraId="411965AF" w14:textId="77777777">
        <w:trPr>
          <w:trHeight w:val="1205"/>
        </w:trPr>
        <w:tc>
          <w:tcPr>
            <w:tcW w:w="2851" w:type="dxa"/>
          </w:tcPr>
          <w:p w14:paraId="3EC1EFAA" w14:textId="77777777" w:rsidR="00CA64BF" w:rsidRDefault="00FA3A2B">
            <w:pPr>
              <w:rPr>
                <w:rFonts w:ascii="Roboto" w:eastAsia="Roboto" w:hAnsi="Roboto" w:cs="Roboto"/>
              </w:rPr>
            </w:pPr>
            <w:r>
              <w:rPr>
                <w:rFonts w:ascii="Roboto" w:eastAsia="Roboto" w:hAnsi="Roboto" w:cs="Roboto"/>
              </w:rPr>
              <w:t>The integrity of the computers used</w:t>
            </w:r>
          </w:p>
        </w:tc>
        <w:tc>
          <w:tcPr>
            <w:tcW w:w="2852" w:type="dxa"/>
          </w:tcPr>
          <w:p w14:paraId="31142AB8" w14:textId="77777777" w:rsidR="00CA64BF" w:rsidRDefault="00FA3A2B">
            <w:pPr>
              <w:rPr>
                <w:rFonts w:ascii="Roboto" w:eastAsia="Roboto" w:hAnsi="Roboto" w:cs="Roboto"/>
              </w:rPr>
            </w:pPr>
            <w:r>
              <w:rPr>
                <w:rFonts w:ascii="Roboto" w:eastAsia="Roboto" w:hAnsi="Roboto" w:cs="Roboto"/>
              </w:rPr>
              <w:t xml:space="preserve">Both solutions can be run on mobile devices, with greater degree of protection against malware. </w:t>
            </w:r>
          </w:p>
          <w:p w14:paraId="6DB7A623" w14:textId="77777777" w:rsidR="00CA64BF" w:rsidRDefault="00CA64BF">
            <w:pPr>
              <w:rPr>
                <w:rFonts w:ascii="Roboto" w:eastAsia="Roboto" w:hAnsi="Roboto" w:cs="Roboto"/>
              </w:rPr>
            </w:pPr>
          </w:p>
          <w:p w14:paraId="396D8FFD" w14:textId="77777777" w:rsidR="00CA64BF" w:rsidRDefault="00FA3A2B">
            <w:pPr>
              <w:rPr>
                <w:rFonts w:ascii="Roboto" w:eastAsia="Roboto" w:hAnsi="Roboto" w:cs="Roboto"/>
              </w:rPr>
            </w:pPr>
            <w:r>
              <w:rPr>
                <w:rFonts w:ascii="Roboto" w:eastAsia="Roboto" w:hAnsi="Roboto" w:cs="Roboto"/>
              </w:rPr>
              <w:t>Desktop computers may also be used since this is a web platform, but these devices are subject to same high NHS data security standards for GP practices and other NHS providers - such as the Data Security and Protection Toolkit.</w:t>
            </w:r>
          </w:p>
        </w:tc>
        <w:tc>
          <w:tcPr>
            <w:tcW w:w="1377" w:type="dxa"/>
          </w:tcPr>
          <w:p w14:paraId="3B39BFBE" w14:textId="77777777" w:rsidR="00CA64BF" w:rsidRDefault="00FA3A2B">
            <w:pPr>
              <w:rPr>
                <w:rFonts w:ascii="Roboto" w:eastAsia="Roboto" w:hAnsi="Roboto" w:cs="Roboto"/>
              </w:rPr>
            </w:pPr>
            <w:r>
              <w:rPr>
                <w:rFonts w:ascii="Roboto" w:eastAsia="Roboto" w:hAnsi="Roboto" w:cs="Roboto"/>
              </w:rPr>
              <w:t>Reduced</w:t>
            </w:r>
          </w:p>
        </w:tc>
        <w:tc>
          <w:tcPr>
            <w:tcW w:w="1273" w:type="dxa"/>
          </w:tcPr>
          <w:p w14:paraId="317DA5E7" w14:textId="77777777" w:rsidR="00CA64BF" w:rsidRDefault="00FA3A2B">
            <w:pPr>
              <w:rPr>
                <w:rFonts w:ascii="Roboto" w:eastAsia="Roboto" w:hAnsi="Roboto" w:cs="Roboto"/>
              </w:rPr>
            </w:pPr>
            <w:r>
              <w:rPr>
                <w:rFonts w:ascii="Roboto" w:eastAsia="Roboto" w:hAnsi="Roboto" w:cs="Roboto"/>
              </w:rPr>
              <w:t>Low</w:t>
            </w:r>
          </w:p>
        </w:tc>
        <w:tc>
          <w:tcPr>
            <w:tcW w:w="1417" w:type="dxa"/>
          </w:tcPr>
          <w:p w14:paraId="3C526C81"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Yes</w:t>
            </w:r>
          </w:p>
        </w:tc>
      </w:tr>
      <w:tr w:rsidR="00CA64BF" w14:paraId="4028117A" w14:textId="77777777">
        <w:trPr>
          <w:trHeight w:val="1205"/>
        </w:trPr>
        <w:tc>
          <w:tcPr>
            <w:tcW w:w="2851" w:type="dxa"/>
          </w:tcPr>
          <w:p w14:paraId="065EB5BB" w14:textId="77777777" w:rsidR="00CA64BF" w:rsidRDefault="00FA3A2B">
            <w:pPr>
              <w:rPr>
                <w:rFonts w:ascii="Roboto" w:eastAsia="Roboto" w:hAnsi="Roboto" w:cs="Roboto"/>
              </w:rPr>
            </w:pPr>
            <w:r>
              <w:rPr>
                <w:rFonts w:ascii="Roboto" w:eastAsia="Roboto" w:hAnsi="Roboto" w:cs="Roboto"/>
              </w:rPr>
              <w:t>Patients impersonating eligible patients in order to receive the Covid-19 vaccine</w:t>
            </w:r>
          </w:p>
        </w:tc>
        <w:tc>
          <w:tcPr>
            <w:tcW w:w="2852" w:type="dxa"/>
          </w:tcPr>
          <w:p w14:paraId="7A6E8186" w14:textId="77777777" w:rsidR="00CA64BF" w:rsidRDefault="00FA3A2B">
            <w:pPr>
              <w:rPr>
                <w:rFonts w:ascii="Roboto" w:eastAsia="Roboto" w:hAnsi="Roboto" w:cs="Roboto"/>
              </w:rPr>
            </w:pPr>
            <w:r>
              <w:rPr>
                <w:rFonts w:ascii="Roboto" w:eastAsia="Roboto" w:hAnsi="Roboto" w:cs="Roboto"/>
              </w:rPr>
              <w:t>Low underlying likelihood as they’d have to already impersonate to persuade practice to change contact information.</w:t>
            </w:r>
          </w:p>
          <w:p w14:paraId="7C6BF387" w14:textId="77777777" w:rsidR="00CA64BF" w:rsidRDefault="00CA64BF">
            <w:pPr>
              <w:rPr>
                <w:rFonts w:ascii="Roboto" w:eastAsia="Roboto" w:hAnsi="Roboto" w:cs="Roboto"/>
              </w:rPr>
            </w:pPr>
          </w:p>
          <w:p w14:paraId="546A7A01" w14:textId="77777777" w:rsidR="00CA64BF" w:rsidRDefault="00FA3A2B">
            <w:pPr>
              <w:rPr>
                <w:rFonts w:ascii="Roboto" w:eastAsia="Roboto" w:hAnsi="Roboto" w:cs="Roboto"/>
              </w:rPr>
            </w:pPr>
            <w:r>
              <w:rPr>
                <w:rFonts w:ascii="Roboto" w:eastAsia="Roboto" w:hAnsi="Roboto" w:cs="Roboto"/>
              </w:rPr>
              <w:t>Practices are currently subject of a national campaign to ensure patient contact information is up to date for this vaccine programme.</w:t>
            </w:r>
          </w:p>
          <w:p w14:paraId="13D74ADD" w14:textId="77777777" w:rsidR="00CA64BF" w:rsidRDefault="00CA64BF">
            <w:pPr>
              <w:rPr>
                <w:rFonts w:ascii="Roboto" w:eastAsia="Roboto" w:hAnsi="Roboto" w:cs="Roboto"/>
              </w:rPr>
            </w:pPr>
          </w:p>
          <w:p w14:paraId="455FB33D" w14:textId="77777777" w:rsidR="00CA64BF" w:rsidRDefault="00FA3A2B">
            <w:pPr>
              <w:rPr>
                <w:rFonts w:ascii="Roboto" w:eastAsia="Roboto" w:hAnsi="Roboto" w:cs="Roboto"/>
              </w:rPr>
            </w:pPr>
            <w:r>
              <w:rPr>
                <w:rFonts w:ascii="Roboto" w:eastAsia="Roboto" w:hAnsi="Roboto" w:cs="Roboto"/>
              </w:rPr>
              <w:t xml:space="preserve">Patients can contact practice themselves if a malicious actor somehow obtained access to their  unique invitation link. </w:t>
            </w:r>
          </w:p>
          <w:p w14:paraId="036BF26C" w14:textId="77777777" w:rsidR="00CA64BF" w:rsidRDefault="00CA64BF">
            <w:pPr>
              <w:rPr>
                <w:rFonts w:ascii="Roboto" w:eastAsia="Roboto" w:hAnsi="Roboto" w:cs="Roboto"/>
              </w:rPr>
            </w:pPr>
          </w:p>
          <w:p w14:paraId="5F3FC2BE" w14:textId="77777777" w:rsidR="00CA64BF" w:rsidRDefault="00FA3A2B">
            <w:pPr>
              <w:rPr>
                <w:rFonts w:ascii="Roboto" w:eastAsia="Roboto" w:hAnsi="Roboto" w:cs="Roboto"/>
              </w:rPr>
            </w:pPr>
            <w:r>
              <w:rPr>
                <w:rFonts w:ascii="Roboto" w:eastAsia="Roboto" w:hAnsi="Roboto" w:cs="Roboto"/>
              </w:rPr>
              <w:t>Healthcare professionals will appropriately verify identity on-site at point of care in line with usual practice and vaccine service specification.</w:t>
            </w:r>
          </w:p>
          <w:p w14:paraId="2C1EE4FE" w14:textId="77777777" w:rsidR="00CA64BF" w:rsidRDefault="00CA64BF">
            <w:pPr>
              <w:rPr>
                <w:rFonts w:ascii="Roboto" w:eastAsia="Roboto" w:hAnsi="Roboto" w:cs="Roboto"/>
              </w:rPr>
            </w:pPr>
          </w:p>
          <w:p w14:paraId="3843A251" w14:textId="77777777" w:rsidR="00CA64BF" w:rsidRDefault="00FA3A2B">
            <w:pPr>
              <w:rPr>
                <w:rFonts w:ascii="Roboto" w:eastAsia="Roboto" w:hAnsi="Roboto" w:cs="Roboto"/>
              </w:rPr>
            </w:pPr>
            <w:r>
              <w:rPr>
                <w:rFonts w:ascii="Roboto" w:eastAsia="Roboto" w:hAnsi="Roboto" w:cs="Roboto"/>
              </w:rPr>
              <w:t>Any proven victim of impersonation can have record corrected, and vaccine administered.</w:t>
            </w:r>
          </w:p>
        </w:tc>
        <w:tc>
          <w:tcPr>
            <w:tcW w:w="1377" w:type="dxa"/>
          </w:tcPr>
          <w:p w14:paraId="15B6C031" w14:textId="77777777" w:rsidR="00CA64BF" w:rsidRDefault="00FA3A2B">
            <w:pPr>
              <w:rPr>
                <w:rFonts w:ascii="Roboto" w:eastAsia="Roboto" w:hAnsi="Roboto" w:cs="Roboto"/>
              </w:rPr>
            </w:pPr>
            <w:r>
              <w:rPr>
                <w:rFonts w:ascii="Roboto" w:eastAsia="Roboto" w:hAnsi="Roboto" w:cs="Roboto"/>
              </w:rPr>
              <w:t>Reduced</w:t>
            </w:r>
          </w:p>
        </w:tc>
        <w:tc>
          <w:tcPr>
            <w:tcW w:w="1273" w:type="dxa"/>
          </w:tcPr>
          <w:p w14:paraId="1EF7C536" w14:textId="77777777" w:rsidR="00CA64BF" w:rsidRDefault="00FA3A2B">
            <w:pPr>
              <w:rPr>
                <w:rFonts w:ascii="Roboto" w:eastAsia="Roboto" w:hAnsi="Roboto" w:cs="Roboto"/>
              </w:rPr>
            </w:pPr>
            <w:r>
              <w:rPr>
                <w:rFonts w:ascii="Roboto" w:eastAsia="Roboto" w:hAnsi="Roboto" w:cs="Roboto"/>
              </w:rPr>
              <w:t>Low</w:t>
            </w:r>
          </w:p>
        </w:tc>
        <w:tc>
          <w:tcPr>
            <w:tcW w:w="1417" w:type="dxa"/>
          </w:tcPr>
          <w:p w14:paraId="22555EF1" w14:textId="77777777" w:rsidR="00CA64BF" w:rsidRDefault="00FA3A2B">
            <w:pPr>
              <w:rPr>
                <w:rFonts w:ascii="Roboto" w:eastAsia="Roboto" w:hAnsi="Roboto" w:cs="Roboto"/>
              </w:rPr>
            </w:pPr>
            <w:r>
              <w:rPr>
                <w:rFonts w:ascii="Roboto" w:eastAsia="Roboto" w:hAnsi="Roboto" w:cs="Roboto"/>
              </w:rPr>
              <w:t>Yes</w:t>
            </w:r>
          </w:p>
        </w:tc>
      </w:tr>
      <w:tr w:rsidR="00CA64BF" w14:paraId="0AAFCE75" w14:textId="77777777">
        <w:trPr>
          <w:trHeight w:val="1205"/>
        </w:trPr>
        <w:tc>
          <w:tcPr>
            <w:tcW w:w="2851" w:type="dxa"/>
          </w:tcPr>
          <w:p w14:paraId="5C334B90" w14:textId="77777777" w:rsidR="00CA64BF" w:rsidRDefault="00CA64BF">
            <w:pPr>
              <w:rPr>
                <w:rFonts w:ascii="Roboto" w:eastAsia="Roboto" w:hAnsi="Roboto" w:cs="Roboto"/>
              </w:rPr>
            </w:pPr>
          </w:p>
        </w:tc>
        <w:tc>
          <w:tcPr>
            <w:tcW w:w="2852" w:type="dxa"/>
          </w:tcPr>
          <w:p w14:paraId="36E6AFC6" w14:textId="77777777" w:rsidR="00CA64BF" w:rsidRDefault="00CA64BF">
            <w:pPr>
              <w:rPr>
                <w:rFonts w:ascii="Roboto" w:eastAsia="Roboto" w:hAnsi="Roboto" w:cs="Roboto"/>
              </w:rPr>
            </w:pPr>
          </w:p>
        </w:tc>
        <w:tc>
          <w:tcPr>
            <w:tcW w:w="1377" w:type="dxa"/>
          </w:tcPr>
          <w:p w14:paraId="4AF21E50" w14:textId="77777777" w:rsidR="00CA64BF" w:rsidRDefault="00CA64BF">
            <w:pPr>
              <w:rPr>
                <w:rFonts w:ascii="Roboto" w:eastAsia="Roboto" w:hAnsi="Roboto" w:cs="Roboto"/>
              </w:rPr>
            </w:pPr>
          </w:p>
        </w:tc>
        <w:tc>
          <w:tcPr>
            <w:tcW w:w="1273" w:type="dxa"/>
          </w:tcPr>
          <w:p w14:paraId="4581C5AB" w14:textId="77777777" w:rsidR="00CA64BF" w:rsidRDefault="00CA64BF">
            <w:pPr>
              <w:rPr>
                <w:rFonts w:ascii="Roboto" w:eastAsia="Roboto" w:hAnsi="Roboto" w:cs="Roboto"/>
              </w:rPr>
            </w:pPr>
          </w:p>
        </w:tc>
        <w:tc>
          <w:tcPr>
            <w:tcW w:w="1417" w:type="dxa"/>
          </w:tcPr>
          <w:p w14:paraId="1E890C76" w14:textId="77777777" w:rsidR="00CA64BF" w:rsidRDefault="00CA64BF">
            <w:pPr>
              <w:rPr>
                <w:rFonts w:ascii="Roboto" w:eastAsia="Roboto" w:hAnsi="Roboto" w:cs="Roboto"/>
              </w:rPr>
            </w:pPr>
          </w:p>
        </w:tc>
      </w:tr>
      <w:tr w:rsidR="00CA64BF" w14:paraId="63C9800C" w14:textId="77777777">
        <w:trPr>
          <w:trHeight w:val="1205"/>
        </w:trPr>
        <w:tc>
          <w:tcPr>
            <w:tcW w:w="2851" w:type="dxa"/>
          </w:tcPr>
          <w:p w14:paraId="15900BD7" w14:textId="77777777" w:rsidR="00CA64BF" w:rsidRDefault="00CA64BF">
            <w:pPr>
              <w:rPr>
                <w:rFonts w:ascii="Roboto" w:eastAsia="Roboto" w:hAnsi="Roboto" w:cs="Roboto"/>
              </w:rPr>
            </w:pPr>
          </w:p>
        </w:tc>
        <w:tc>
          <w:tcPr>
            <w:tcW w:w="2852" w:type="dxa"/>
          </w:tcPr>
          <w:p w14:paraId="5222E676" w14:textId="77777777" w:rsidR="00CA64BF" w:rsidRDefault="00CA64BF">
            <w:pPr>
              <w:rPr>
                <w:rFonts w:ascii="Roboto" w:eastAsia="Roboto" w:hAnsi="Roboto" w:cs="Roboto"/>
              </w:rPr>
            </w:pPr>
          </w:p>
        </w:tc>
        <w:tc>
          <w:tcPr>
            <w:tcW w:w="1377" w:type="dxa"/>
          </w:tcPr>
          <w:p w14:paraId="1FF00EEA" w14:textId="77777777" w:rsidR="00CA64BF" w:rsidRDefault="00CA64BF">
            <w:pPr>
              <w:rPr>
                <w:rFonts w:ascii="Roboto" w:eastAsia="Roboto" w:hAnsi="Roboto" w:cs="Roboto"/>
              </w:rPr>
            </w:pPr>
          </w:p>
        </w:tc>
        <w:tc>
          <w:tcPr>
            <w:tcW w:w="1273" w:type="dxa"/>
          </w:tcPr>
          <w:p w14:paraId="5778FCE0" w14:textId="77777777" w:rsidR="00CA64BF" w:rsidRDefault="00CA64BF">
            <w:pPr>
              <w:rPr>
                <w:rFonts w:ascii="Roboto" w:eastAsia="Roboto" w:hAnsi="Roboto" w:cs="Roboto"/>
              </w:rPr>
            </w:pPr>
          </w:p>
        </w:tc>
        <w:tc>
          <w:tcPr>
            <w:tcW w:w="1417" w:type="dxa"/>
          </w:tcPr>
          <w:p w14:paraId="5789FD5B" w14:textId="77777777" w:rsidR="00CA64BF" w:rsidRDefault="00CA64BF">
            <w:pPr>
              <w:rPr>
                <w:rFonts w:ascii="Roboto" w:eastAsia="Roboto" w:hAnsi="Roboto" w:cs="Roboto"/>
              </w:rPr>
            </w:pPr>
          </w:p>
        </w:tc>
      </w:tr>
    </w:tbl>
    <w:p w14:paraId="44422D18" w14:textId="77777777" w:rsidR="00CA64BF" w:rsidRDefault="00CA64BF">
      <w:pPr>
        <w:spacing w:line="240" w:lineRule="auto"/>
        <w:rPr>
          <w:rFonts w:ascii="Roboto" w:eastAsia="Roboto" w:hAnsi="Roboto" w:cs="Roboto"/>
          <w:b/>
          <w:sz w:val="20"/>
          <w:szCs w:val="20"/>
          <w:u w:val="single"/>
        </w:rPr>
      </w:pPr>
    </w:p>
    <w:p w14:paraId="39C8B84D" w14:textId="77777777" w:rsidR="00CA64BF" w:rsidRDefault="00CA64BF">
      <w:pPr>
        <w:spacing w:line="240" w:lineRule="auto"/>
        <w:rPr>
          <w:rFonts w:ascii="Roboto" w:eastAsia="Roboto" w:hAnsi="Roboto" w:cs="Roboto"/>
          <w:b/>
          <w:sz w:val="20"/>
          <w:szCs w:val="20"/>
          <w:u w:val="single"/>
        </w:rPr>
      </w:pPr>
    </w:p>
    <w:p w14:paraId="64533FDB" w14:textId="77777777" w:rsidR="00CA64BF" w:rsidRDefault="00CA64BF">
      <w:pPr>
        <w:rPr>
          <w:rFonts w:ascii="Roboto" w:eastAsia="Roboto" w:hAnsi="Roboto" w:cs="Roboto"/>
          <w:b/>
          <w:sz w:val="20"/>
          <w:szCs w:val="20"/>
          <w:u w:val="single"/>
        </w:rPr>
      </w:pPr>
    </w:p>
    <w:p w14:paraId="68C5A540" w14:textId="77777777" w:rsidR="00CA64BF" w:rsidRDefault="00CA64BF">
      <w:pPr>
        <w:rPr>
          <w:rFonts w:ascii="Roboto" w:eastAsia="Roboto" w:hAnsi="Roboto" w:cs="Roboto"/>
          <w:b/>
          <w:sz w:val="20"/>
          <w:szCs w:val="20"/>
          <w:u w:val="single"/>
        </w:rPr>
      </w:pPr>
    </w:p>
    <w:tbl>
      <w:tblPr>
        <w:tblStyle w:val="a9"/>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3050"/>
        <w:gridCol w:w="3925"/>
      </w:tblGrid>
      <w:tr w:rsidR="00CA64BF" w14:paraId="1110D19D" w14:textId="77777777">
        <w:trPr>
          <w:trHeight w:val="525"/>
        </w:trPr>
        <w:tc>
          <w:tcPr>
            <w:tcW w:w="9874" w:type="dxa"/>
            <w:gridSpan w:val="3"/>
            <w:shd w:val="clear" w:color="auto" w:fill="149494"/>
          </w:tcPr>
          <w:p w14:paraId="01616949" w14:textId="77777777" w:rsidR="00CA64BF" w:rsidRDefault="00FA3A2B">
            <w:pPr>
              <w:spacing w:line="276" w:lineRule="auto"/>
              <w:rPr>
                <w:rFonts w:ascii="Roboto" w:eastAsia="Roboto" w:hAnsi="Roboto" w:cs="Roboto"/>
                <w:b/>
              </w:rPr>
            </w:pPr>
            <w:r>
              <w:rPr>
                <w:rFonts w:ascii="Roboto" w:eastAsia="Roboto" w:hAnsi="Roboto" w:cs="Roboto"/>
                <w:color w:val="FFFFFF"/>
                <w:sz w:val="36"/>
                <w:szCs w:val="36"/>
              </w:rPr>
              <w:lastRenderedPageBreak/>
              <w:t>Step 7: Sign off and record outcomes</w:t>
            </w:r>
          </w:p>
        </w:tc>
      </w:tr>
      <w:tr w:rsidR="00CA64BF" w14:paraId="70BECD98" w14:textId="77777777">
        <w:trPr>
          <w:trHeight w:val="862"/>
        </w:trPr>
        <w:tc>
          <w:tcPr>
            <w:tcW w:w="2899" w:type="dxa"/>
          </w:tcPr>
          <w:p w14:paraId="4D464170"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t xml:space="preserve">Item </w:t>
            </w:r>
          </w:p>
        </w:tc>
        <w:tc>
          <w:tcPr>
            <w:tcW w:w="3050" w:type="dxa"/>
          </w:tcPr>
          <w:p w14:paraId="1B493D05"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t>Name/position/date</w:t>
            </w:r>
          </w:p>
        </w:tc>
        <w:tc>
          <w:tcPr>
            <w:tcW w:w="3925" w:type="dxa"/>
          </w:tcPr>
          <w:p w14:paraId="63B6A402" w14:textId="77777777" w:rsidR="00CA64BF" w:rsidRDefault="00FA3A2B">
            <w:pPr>
              <w:pBdr>
                <w:top w:val="nil"/>
                <w:left w:val="nil"/>
                <w:bottom w:val="nil"/>
                <w:right w:val="nil"/>
                <w:between w:val="nil"/>
              </w:pBdr>
              <w:rPr>
                <w:rFonts w:ascii="Roboto" w:eastAsia="Roboto" w:hAnsi="Roboto" w:cs="Roboto"/>
                <w:b/>
                <w:color w:val="666666"/>
              </w:rPr>
            </w:pPr>
            <w:r>
              <w:rPr>
                <w:rFonts w:ascii="Roboto" w:eastAsia="Roboto" w:hAnsi="Roboto" w:cs="Roboto"/>
                <w:b/>
                <w:color w:val="666666"/>
              </w:rPr>
              <w:t>Notes</w:t>
            </w:r>
          </w:p>
        </w:tc>
      </w:tr>
      <w:tr w:rsidR="00CA64BF" w14:paraId="2F50A5CE" w14:textId="77777777">
        <w:trPr>
          <w:trHeight w:val="111"/>
        </w:trPr>
        <w:tc>
          <w:tcPr>
            <w:tcW w:w="2899" w:type="dxa"/>
          </w:tcPr>
          <w:p w14:paraId="62E23D7F"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Measures approved by:</w:t>
            </w:r>
          </w:p>
        </w:tc>
        <w:tc>
          <w:tcPr>
            <w:tcW w:w="3050" w:type="dxa"/>
          </w:tcPr>
          <w:p w14:paraId="1C5E25F4" w14:textId="77777777" w:rsidR="00CA64BF" w:rsidRDefault="00CA64BF">
            <w:pPr>
              <w:pBdr>
                <w:top w:val="nil"/>
                <w:left w:val="nil"/>
                <w:bottom w:val="nil"/>
                <w:right w:val="nil"/>
                <w:between w:val="nil"/>
              </w:pBdr>
              <w:rPr>
                <w:rFonts w:ascii="Roboto" w:eastAsia="Roboto" w:hAnsi="Roboto" w:cs="Roboto"/>
              </w:rPr>
            </w:pPr>
          </w:p>
        </w:tc>
        <w:tc>
          <w:tcPr>
            <w:tcW w:w="3925" w:type="dxa"/>
          </w:tcPr>
          <w:p w14:paraId="62E2BBEF"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Integrate actions back into project plan, with date and responsibility for completion</w:t>
            </w:r>
          </w:p>
        </w:tc>
      </w:tr>
      <w:tr w:rsidR="00CA64BF" w14:paraId="5AFD7243" w14:textId="77777777">
        <w:trPr>
          <w:trHeight w:val="1131"/>
        </w:trPr>
        <w:tc>
          <w:tcPr>
            <w:tcW w:w="2899" w:type="dxa"/>
          </w:tcPr>
          <w:p w14:paraId="43F58B7B"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Residual risks approved by:</w:t>
            </w:r>
          </w:p>
        </w:tc>
        <w:tc>
          <w:tcPr>
            <w:tcW w:w="3050" w:type="dxa"/>
          </w:tcPr>
          <w:p w14:paraId="3DF4B7A3" w14:textId="77777777" w:rsidR="00CA64BF" w:rsidRDefault="00CA64BF">
            <w:pPr>
              <w:pBdr>
                <w:top w:val="nil"/>
                <w:left w:val="nil"/>
                <w:bottom w:val="nil"/>
                <w:right w:val="nil"/>
                <w:between w:val="nil"/>
              </w:pBdr>
              <w:rPr>
                <w:rFonts w:ascii="Roboto" w:eastAsia="Roboto" w:hAnsi="Roboto" w:cs="Roboto"/>
              </w:rPr>
            </w:pPr>
          </w:p>
        </w:tc>
        <w:tc>
          <w:tcPr>
            <w:tcW w:w="3925" w:type="dxa"/>
          </w:tcPr>
          <w:p w14:paraId="7035CCC4"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If accepting any residual high risk, consult the ICO before going ahead</w:t>
            </w:r>
          </w:p>
        </w:tc>
      </w:tr>
      <w:tr w:rsidR="00CA64BF" w14:paraId="219293DE" w14:textId="77777777">
        <w:trPr>
          <w:trHeight w:val="70"/>
        </w:trPr>
        <w:tc>
          <w:tcPr>
            <w:tcW w:w="2899" w:type="dxa"/>
          </w:tcPr>
          <w:p w14:paraId="4815664E"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DPO advice provided:</w:t>
            </w:r>
          </w:p>
        </w:tc>
        <w:tc>
          <w:tcPr>
            <w:tcW w:w="3050" w:type="dxa"/>
          </w:tcPr>
          <w:p w14:paraId="7802A2BD" w14:textId="0F683E0F" w:rsidR="00CA64BF" w:rsidRDefault="00BE1B2D">
            <w:pPr>
              <w:pBdr>
                <w:top w:val="nil"/>
                <w:left w:val="nil"/>
                <w:bottom w:val="nil"/>
                <w:right w:val="nil"/>
                <w:between w:val="nil"/>
              </w:pBdr>
              <w:rPr>
                <w:rFonts w:ascii="Roboto" w:eastAsia="Roboto" w:hAnsi="Roboto" w:cs="Roboto"/>
              </w:rPr>
            </w:pPr>
            <w:r>
              <w:rPr>
                <w:rFonts w:ascii="Roboto" w:eastAsia="Roboto" w:hAnsi="Roboto" w:cs="Roboto"/>
              </w:rPr>
              <w:t>Trudy Slade</w:t>
            </w:r>
          </w:p>
        </w:tc>
        <w:tc>
          <w:tcPr>
            <w:tcW w:w="3925" w:type="dxa"/>
          </w:tcPr>
          <w:p w14:paraId="182A15CA"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DPO should advise on compliance, step 6 measures and whether processing can proceed</w:t>
            </w:r>
          </w:p>
        </w:tc>
      </w:tr>
      <w:tr w:rsidR="00CA64BF" w14:paraId="0EA9AF5C" w14:textId="77777777">
        <w:trPr>
          <w:trHeight w:val="1020"/>
        </w:trPr>
        <w:tc>
          <w:tcPr>
            <w:tcW w:w="9874" w:type="dxa"/>
            <w:gridSpan w:val="3"/>
          </w:tcPr>
          <w:p w14:paraId="7BDAA338"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Summary of DPO advice:</w:t>
            </w:r>
          </w:p>
          <w:p w14:paraId="68B38D92" w14:textId="77777777" w:rsidR="00BE1B2D" w:rsidRDefault="00BE1B2D">
            <w:pPr>
              <w:pBdr>
                <w:top w:val="nil"/>
                <w:left w:val="nil"/>
                <w:bottom w:val="nil"/>
                <w:right w:val="nil"/>
                <w:between w:val="nil"/>
              </w:pBdr>
              <w:rPr>
                <w:rFonts w:ascii="Roboto" w:eastAsia="Roboto" w:hAnsi="Roboto" w:cs="Roboto"/>
              </w:rPr>
            </w:pPr>
            <w:r>
              <w:rPr>
                <w:rFonts w:ascii="Roboto" w:eastAsia="Roboto" w:hAnsi="Roboto" w:cs="Roboto"/>
              </w:rPr>
              <w:t xml:space="preserve">Practices should read and understand the DPIA and need for the data processing in this instance.  Personal confidential data, in the form of patient demographic and minimum personal data is shared with other data controllers in their network for the purposes of providing the Covid 19 Vaccine, this process will enable an accurate record of who has had the vaccine and avoid duplications.  It will enable other organisations with a contract in place and who is providing recall and booking services to the national vaccine service the ability to target the right patients at the right time according the national role out. </w:t>
            </w:r>
          </w:p>
          <w:p w14:paraId="1B20AF5D" w14:textId="77777777" w:rsidR="00BE1B2D" w:rsidRDefault="00BE1B2D">
            <w:pPr>
              <w:pBdr>
                <w:top w:val="nil"/>
                <w:left w:val="nil"/>
                <w:bottom w:val="nil"/>
                <w:right w:val="nil"/>
                <w:between w:val="nil"/>
              </w:pBdr>
              <w:rPr>
                <w:rFonts w:ascii="Roboto" w:eastAsia="Roboto" w:hAnsi="Roboto" w:cs="Roboto"/>
              </w:rPr>
            </w:pPr>
          </w:p>
          <w:p w14:paraId="5C2688E7" w14:textId="77777777" w:rsidR="00BE1B2D" w:rsidRDefault="00BE1B2D">
            <w:pPr>
              <w:pBdr>
                <w:top w:val="nil"/>
                <w:left w:val="nil"/>
                <w:bottom w:val="nil"/>
                <w:right w:val="nil"/>
                <w:between w:val="nil"/>
              </w:pBdr>
              <w:rPr>
                <w:rFonts w:ascii="Roboto" w:eastAsia="Roboto" w:hAnsi="Roboto" w:cs="Roboto"/>
              </w:rPr>
            </w:pPr>
            <w:r>
              <w:rPr>
                <w:rFonts w:ascii="Roboto" w:eastAsia="Roboto" w:hAnsi="Roboto" w:cs="Roboto"/>
              </w:rPr>
              <w:t xml:space="preserve">Practices should understand that the records of patients registered at other practices, will be visible to all users of within a shared network. </w:t>
            </w:r>
          </w:p>
          <w:p w14:paraId="4B64AB07" w14:textId="77777777" w:rsidR="00EC557F" w:rsidRDefault="00EC557F">
            <w:pPr>
              <w:pBdr>
                <w:top w:val="nil"/>
                <w:left w:val="nil"/>
                <w:bottom w:val="nil"/>
                <w:right w:val="nil"/>
                <w:between w:val="nil"/>
              </w:pBdr>
              <w:rPr>
                <w:rFonts w:ascii="Roboto" w:eastAsia="Roboto" w:hAnsi="Roboto" w:cs="Roboto"/>
              </w:rPr>
            </w:pPr>
          </w:p>
          <w:p w14:paraId="44120733" w14:textId="77777777" w:rsidR="00EC557F" w:rsidRDefault="00EC557F">
            <w:pPr>
              <w:pBdr>
                <w:top w:val="nil"/>
                <w:left w:val="nil"/>
                <w:bottom w:val="nil"/>
                <w:right w:val="nil"/>
                <w:between w:val="nil"/>
              </w:pBdr>
              <w:rPr>
                <w:rFonts w:ascii="Roboto" w:eastAsia="Roboto" w:hAnsi="Roboto" w:cs="Roboto"/>
              </w:rPr>
            </w:pPr>
            <w:r>
              <w:rPr>
                <w:rFonts w:ascii="Roboto" w:eastAsia="Roboto" w:hAnsi="Roboto" w:cs="Roboto"/>
              </w:rPr>
              <w:t>The practice should update their information Asset register to reflect the use of AccuBook and their data flow map.</w:t>
            </w:r>
          </w:p>
          <w:p w14:paraId="7482449D" w14:textId="77777777" w:rsidR="00EC557F" w:rsidRDefault="00EC557F">
            <w:pPr>
              <w:pBdr>
                <w:top w:val="nil"/>
                <w:left w:val="nil"/>
                <w:bottom w:val="nil"/>
                <w:right w:val="nil"/>
                <w:between w:val="nil"/>
              </w:pBdr>
              <w:rPr>
                <w:rFonts w:ascii="Roboto" w:eastAsia="Roboto" w:hAnsi="Roboto" w:cs="Roboto"/>
              </w:rPr>
            </w:pPr>
          </w:p>
          <w:p w14:paraId="61B189FB" w14:textId="77777777" w:rsidR="00EC557F" w:rsidRDefault="00EC557F">
            <w:pPr>
              <w:pBdr>
                <w:top w:val="nil"/>
                <w:left w:val="nil"/>
                <w:bottom w:val="nil"/>
                <w:right w:val="nil"/>
                <w:between w:val="nil"/>
              </w:pBdr>
              <w:rPr>
                <w:rFonts w:ascii="Roboto" w:eastAsia="Roboto" w:hAnsi="Roboto" w:cs="Roboto"/>
              </w:rPr>
            </w:pPr>
            <w:r>
              <w:rPr>
                <w:rFonts w:ascii="Roboto" w:eastAsia="Roboto" w:hAnsi="Roboto" w:cs="Roboto"/>
              </w:rPr>
              <w:t>The practice should also ensure that they have updated their Privacy notice – suitable wording below</w:t>
            </w:r>
          </w:p>
          <w:tbl>
            <w:tblPr>
              <w:tblStyle w:val="TableGrid"/>
              <w:tblW w:w="0" w:type="auto"/>
              <w:tblLayout w:type="fixed"/>
              <w:tblLook w:val="04A0" w:firstRow="1" w:lastRow="0" w:firstColumn="1" w:lastColumn="0" w:noHBand="0" w:noVBand="1"/>
            </w:tblPr>
            <w:tblGrid>
              <w:gridCol w:w="4824"/>
              <w:gridCol w:w="4824"/>
            </w:tblGrid>
            <w:tr w:rsidR="00EC557F" w14:paraId="44FA90F3" w14:textId="77777777" w:rsidTr="00EC557F">
              <w:tc>
                <w:tcPr>
                  <w:tcW w:w="4824" w:type="dxa"/>
                </w:tcPr>
                <w:p w14:paraId="401844C6" w14:textId="6DB56012" w:rsidR="00EC557F" w:rsidRDefault="00EC557F">
                  <w:pPr>
                    <w:rPr>
                      <w:rFonts w:ascii="Roboto" w:eastAsia="Roboto" w:hAnsi="Roboto" w:cs="Roboto"/>
                    </w:rPr>
                  </w:pPr>
                  <w:r>
                    <w:rPr>
                      <w:rFonts w:ascii="Roboto" w:eastAsia="Roboto" w:hAnsi="Roboto" w:cs="Roboto"/>
                    </w:rPr>
                    <w:t>Covid-19 Mass Vaccination Programme</w:t>
                  </w:r>
                </w:p>
              </w:tc>
              <w:tc>
                <w:tcPr>
                  <w:tcW w:w="4824" w:type="dxa"/>
                </w:tcPr>
                <w:p w14:paraId="73C66DBB" w14:textId="01EC63A9" w:rsidR="00EC557F" w:rsidRDefault="00EC557F">
                  <w:pPr>
                    <w:rPr>
                      <w:rFonts w:ascii="Roboto" w:eastAsia="Roboto" w:hAnsi="Roboto" w:cs="Roboto"/>
                    </w:rPr>
                  </w:pPr>
                  <w:r w:rsidRPr="00EC557F">
                    <w:rPr>
                      <w:rFonts w:ascii="Roboto" w:eastAsia="Roboto" w:hAnsi="Roboto" w:cs="Roboto"/>
                      <w:b/>
                      <w:bCs/>
                    </w:rPr>
                    <w:t xml:space="preserve">Purpose </w:t>
                  </w:r>
                  <w:r>
                    <w:rPr>
                      <w:rFonts w:ascii="Roboto" w:eastAsia="Roboto" w:hAnsi="Roboto" w:cs="Roboto"/>
                    </w:rPr>
                    <w:t xml:space="preserve">– The practice will share a minimum of patients personal confidential data in order to book, record and recall patients for their Covid-19 vaccination.  It is essential that all patients are offered the vaccine in the interests of Public Health. Patients cannot opt out of the recall system. </w:t>
                  </w:r>
                </w:p>
                <w:p w14:paraId="440B8289" w14:textId="77777777" w:rsidR="00EC557F" w:rsidRDefault="00EC557F">
                  <w:pPr>
                    <w:rPr>
                      <w:rFonts w:ascii="Roboto" w:eastAsia="Roboto" w:hAnsi="Roboto" w:cs="Roboto"/>
                    </w:rPr>
                  </w:pPr>
                </w:p>
                <w:p w14:paraId="3D16AA6B" w14:textId="52581F9C" w:rsidR="00EC557F" w:rsidRDefault="00EC557F">
                  <w:pPr>
                    <w:rPr>
                      <w:rFonts w:ascii="Roboto" w:eastAsia="Roboto" w:hAnsi="Roboto" w:cs="Roboto"/>
                    </w:rPr>
                  </w:pPr>
                  <w:r w:rsidRPr="00EC557F">
                    <w:rPr>
                      <w:rFonts w:ascii="Roboto" w:eastAsia="Roboto" w:hAnsi="Roboto" w:cs="Roboto"/>
                      <w:b/>
                      <w:bCs/>
                    </w:rPr>
                    <w:t xml:space="preserve">Legal Basis : </w:t>
                  </w:r>
                  <w:r>
                    <w:rPr>
                      <w:rFonts w:ascii="Roboto" w:eastAsia="Roboto" w:hAnsi="Roboto" w:cs="Roboto"/>
                    </w:rPr>
                    <w:t>While this activity is covered under the COPI regulations, it is also for direct care, and Public interest.  All UK GDPR legal basis applicable are listed below.</w:t>
                  </w:r>
                </w:p>
                <w:p w14:paraId="19C190EC" w14:textId="77777777" w:rsidR="00EC557F" w:rsidRDefault="00EC557F">
                  <w:pPr>
                    <w:rPr>
                      <w:rFonts w:ascii="Roboto" w:eastAsia="Roboto" w:hAnsi="Roboto" w:cs="Roboto"/>
                    </w:rPr>
                  </w:pPr>
                </w:p>
                <w:p w14:paraId="03D47DA7" w14:textId="77777777" w:rsidR="00EC557F" w:rsidRPr="00EC557F" w:rsidRDefault="00EC557F" w:rsidP="00EC557F">
                  <w:pPr>
                    <w:rPr>
                      <w:rFonts w:ascii="Roboto" w:eastAsia="Roboto" w:hAnsi="Roboto" w:cs="Roboto"/>
                    </w:rPr>
                  </w:pPr>
                  <w:r w:rsidRPr="00EC557F">
                    <w:rPr>
                      <w:rFonts w:ascii="Roboto" w:eastAsia="Roboto" w:hAnsi="Roboto" w:cs="Roboto"/>
                    </w:rPr>
                    <w:t>Health care providers’ lawful basis for processing patient data using accuRx services is expected to be:</w:t>
                  </w:r>
                </w:p>
                <w:p w14:paraId="09E52445" w14:textId="77777777" w:rsidR="00EC557F" w:rsidRPr="00EC557F" w:rsidRDefault="00EC557F" w:rsidP="00EC557F">
                  <w:pPr>
                    <w:rPr>
                      <w:rFonts w:ascii="Roboto" w:eastAsia="Roboto" w:hAnsi="Roboto" w:cs="Roboto"/>
                    </w:rPr>
                  </w:pPr>
                  <w:r w:rsidRPr="00EC557F">
                    <w:rPr>
                      <w:rFonts w:ascii="Roboto" w:eastAsia="Roboto" w:hAnsi="Roboto" w:cs="Roboto"/>
                    </w:rPr>
                    <w:t>Article 6(1)(e) – ‘...exercise of official authority…’;</w:t>
                  </w:r>
                </w:p>
                <w:p w14:paraId="36AD322D" w14:textId="77777777" w:rsidR="00EC557F" w:rsidRPr="00EC557F" w:rsidRDefault="00EC557F" w:rsidP="00EC557F">
                  <w:pPr>
                    <w:rPr>
                      <w:rFonts w:ascii="Roboto" w:eastAsia="Roboto" w:hAnsi="Roboto" w:cs="Roboto"/>
                    </w:rPr>
                  </w:pPr>
                </w:p>
                <w:p w14:paraId="2D6AAA49" w14:textId="77777777" w:rsidR="00EC557F" w:rsidRPr="00EC557F" w:rsidRDefault="00EC557F" w:rsidP="00EC557F">
                  <w:pPr>
                    <w:rPr>
                      <w:rFonts w:ascii="Roboto" w:eastAsia="Roboto" w:hAnsi="Roboto" w:cs="Roboto"/>
                    </w:rPr>
                  </w:pPr>
                  <w:r w:rsidRPr="00EC557F">
                    <w:rPr>
                      <w:rFonts w:ascii="Roboto" w:eastAsia="Roboto" w:hAnsi="Roboto" w:cs="Roboto"/>
                    </w:rPr>
                    <w:t>And their processing of special categories (health) data using accuRx services, the conditions are expected to be:</w:t>
                  </w:r>
                </w:p>
                <w:p w14:paraId="7013865D" w14:textId="77777777" w:rsidR="00EC557F" w:rsidRPr="00EC557F" w:rsidRDefault="00EC557F" w:rsidP="00EC557F">
                  <w:pPr>
                    <w:rPr>
                      <w:rFonts w:ascii="Roboto" w:eastAsia="Roboto" w:hAnsi="Roboto" w:cs="Roboto"/>
                    </w:rPr>
                  </w:pPr>
                  <w:r w:rsidRPr="00EC557F">
                    <w:rPr>
                      <w:rFonts w:ascii="Roboto" w:eastAsia="Roboto" w:hAnsi="Roboto" w:cs="Roboto"/>
                    </w:rPr>
                    <w:t xml:space="preserve">9(2)(h) – ‘…health or social care…’, and </w:t>
                  </w:r>
                </w:p>
                <w:p w14:paraId="38168171" w14:textId="77777777" w:rsidR="00EC557F" w:rsidRPr="00EC557F" w:rsidRDefault="00EC557F" w:rsidP="00EC557F">
                  <w:pPr>
                    <w:rPr>
                      <w:rFonts w:ascii="Roboto" w:eastAsia="Roboto" w:hAnsi="Roboto" w:cs="Roboto"/>
                    </w:rPr>
                  </w:pPr>
                  <w:r w:rsidRPr="00EC557F">
                    <w:rPr>
                      <w:rFonts w:ascii="Roboto" w:eastAsia="Roboto" w:hAnsi="Roboto" w:cs="Roboto"/>
                    </w:rPr>
                    <w:t>9(2)(i) – ‘…public health purposes…’.</w:t>
                  </w:r>
                </w:p>
                <w:p w14:paraId="52709601" w14:textId="77777777" w:rsidR="00EC557F" w:rsidRPr="00EC557F" w:rsidRDefault="00EC557F" w:rsidP="00EC557F">
                  <w:pPr>
                    <w:rPr>
                      <w:rFonts w:ascii="Roboto" w:eastAsia="Roboto" w:hAnsi="Roboto" w:cs="Roboto"/>
                    </w:rPr>
                  </w:pPr>
                </w:p>
                <w:p w14:paraId="443788EB" w14:textId="77777777" w:rsidR="00EC557F" w:rsidRPr="00EC557F" w:rsidRDefault="00EC557F" w:rsidP="00EC557F">
                  <w:pPr>
                    <w:rPr>
                      <w:rFonts w:ascii="Roboto" w:eastAsia="Roboto" w:hAnsi="Roboto" w:cs="Roboto"/>
                    </w:rPr>
                  </w:pPr>
                  <w:r w:rsidRPr="00EC557F">
                    <w:rPr>
                      <w:rFonts w:ascii="Roboto" w:eastAsia="Roboto" w:hAnsi="Roboto" w:cs="Roboto"/>
                    </w:rPr>
                    <w:t>For processing special categories (ethnicity) data using accuRx services, the conditions are expected to be:</w:t>
                  </w:r>
                </w:p>
                <w:p w14:paraId="218C7012" w14:textId="77777777" w:rsidR="00EC557F" w:rsidRPr="00EC557F" w:rsidRDefault="00EC557F" w:rsidP="00EC557F">
                  <w:pPr>
                    <w:rPr>
                      <w:rFonts w:ascii="Roboto" w:eastAsia="Roboto" w:hAnsi="Roboto" w:cs="Roboto"/>
                    </w:rPr>
                  </w:pPr>
                  <w:r w:rsidRPr="00EC557F">
                    <w:rPr>
                      <w:rFonts w:ascii="Roboto" w:eastAsia="Roboto" w:hAnsi="Roboto" w:cs="Roboto"/>
                    </w:rPr>
                    <w:t xml:space="preserve">9(2)(h) – ‘…health or social care…’, and </w:t>
                  </w:r>
                </w:p>
                <w:p w14:paraId="2D63F16A" w14:textId="77777777" w:rsidR="00EC557F" w:rsidRDefault="00EC557F" w:rsidP="00EC557F">
                  <w:pPr>
                    <w:rPr>
                      <w:rFonts w:ascii="Roboto" w:eastAsia="Roboto" w:hAnsi="Roboto" w:cs="Roboto"/>
                    </w:rPr>
                  </w:pPr>
                  <w:r w:rsidRPr="00EC557F">
                    <w:rPr>
                      <w:rFonts w:ascii="Roboto" w:eastAsia="Roboto" w:hAnsi="Roboto" w:cs="Roboto"/>
                    </w:rPr>
                    <w:t>9(2)(b) – ‘…social protection law…’ (for monitoring equality of access)</w:t>
                  </w:r>
                </w:p>
                <w:p w14:paraId="6F656037" w14:textId="77777777" w:rsidR="00EC557F" w:rsidRDefault="00EC557F" w:rsidP="00EC557F">
                  <w:pPr>
                    <w:rPr>
                      <w:rFonts w:ascii="Roboto" w:eastAsia="Roboto" w:hAnsi="Roboto" w:cs="Roboto"/>
                    </w:rPr>
                  </w:pPr>
                </w:p>
                <w:p w14:paraId="026D9BDC" w14:textId="77777777" w:rsidR="00EC557F" w:rsidRDefault="00EC557F" w:rsidP="00EC557F">
                  <w:pPr>
                    <w:rPr>
                      <w:rFonts w:ascii="Roboto" w:eastAsia="Roboto" w:hAnsi="Roboto" w:cs="Roboto"/>
                    </w:rPr>
                  </w:pPr>
                  <w:r w:rsidRPr="00EC557F">
                    <w:rPr>
                      <w:rFonts w:ascii="Roboto" w:eastAsia="Roboto" w:hAnsi="Roboto" w:cs="Roboto"/>
                      <w:b/>
                      <w:bCs/>
                    </w:rPr>
                    <w:t>Processors:</w:t>
                  </w:r>
                  <w:r>
                    <w:rPr>
                      <w:rFonts w:ascii="Roboto" w:eastAsia="Roboto" w:hAnsi="Roboto" w:cs="Roboto"/>
                    </w:rPr>
                    <w:t xml:space="preserve"> IPC, AccuRX, other GP practices within the Network, other providers assisting with the Mass Vaccination Role out</w:t>
                  </w:r>
                </w:p>
                <w:p w14:paraId="7E134993" w14:textId="64B80390" w:rsidR="00EC557F" w:rsidRPr="00EC557F" w:rsidRDefault="00EC557F" w:rsidP="00EC557F">
                  <w:pPr>
                    <w:rPr>
                      <w:rFonts w:ascii="Roboto" w:eastAsia="Roboto" w:hAnsi="Roboto" w:cs="Roboto"/>
                    </w:rPr>
                  </w:pPr>
                </w:p>
              </w:tc>
            </w:tr>
          </w:tbl>
          <w:p w14:paraId="0F3F68F1" w14:textId="6EB2F017" w:rsidR="00EC557F" w:rsidRDefault="00EC557F">
            <w:pPr>
              <w:pBdr>
                <w:top w:val="nil"/>
                <w:left w:val="nil"/>
                <w:bottom w:val="nil"/>
                <w:right w:val="nil"/>
                <w:between w:val="nil"/>
              </w:pBdr>
              <w:rPr>
                <w:rFonts w:ascii="Roboto" w:eastAsia="Roboto" w:hAnsi="Roboto" w:cs="Roboto"/>
              </w:rPr>
            </w:pPr>
          </w:p>
        </w:tc>
      </w:tr>
      <w:tr w:rsidR="00CA64BF" w14:paraId="58F6C25F" w14:textId="77777777">
        <w:trPr>
          <w:trHeight w:val="966"/>
        </w:trPr>
        <w:tc>
          <w:tcPr>
            <w:tcW w:w="2899" w:type="dxa"/>
          </w:tcPr>
          <w:p w14:paraId="1EB90CAE"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DPO advice accepted or overruled by:</w:t>
            </w:r>
          </w:p>
        </w:tc>
        <w:tc>
          <w:tcPr>
            <w:tcW w:w="3050" w:type="dxa"/>
          </w:tcPr>
          <w:p w14:paraId="3C2821CA" w14:textId="77777777" w:rsidR="00CA64BF" w:rsidRDefault="00CA64BF">
            <w:pPr>
              <w:pBdr>
                <w:top w:val="nil"/>
                <w:left w:val="nil"/>
                <w:bottom w:val="nil"/>
                <w:right w:val="nil"/>
                <w:between w:val="nil"/>
              </w:pBdr>
              <w:rPr>
                <w:rFonts w:ascii="Roboto" w:eastAsia="Roboto" w:hAnsi="Roboto" w:cs="Roboto"/>
              </w:rPr>
            </w:pPr>
          </w:p>
        </w:tc>
        <w:tc>
          <w:tcPr>
            <w:tcW w:w="3925" w:type="dxa"/>
          </w:tcPr>
          <w:p w14:paraId="6AA50D29"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If overruled, you must explain your reasons</w:t>
            </w:r>
          </w:p>
        </w:tc>
      </w:tr>
      <w:tr w:rsidR="00CA64BF" w14:paraId="418357F5" w14:textId="77777777">
        <w:trPr>
          <w:trHeight w:val="990"/>
        </w:trPr>
        <w:tc>
          <w:tcPr>
            <w:tcW w:w="9874" w:type="dxa"/>
            <w:gridSpan w:val="3"/>
          </w:tcPr>
          <w:p w14:paraId="0D8BA69C"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Comments:</w:t>
            </w:r>
          </w:p>
        </w:tc>
      </w:tr>
      <w:tr w:rsidR="00CA64BF" w14:paraId="5B624F89" w14:textId="77777777">
        <w:trPr>
          <w:trHeight w:val="1094"/>
        </w:trPr>
        <w:tc>
          <w:tcPr>
            <w:tcW w:w="2899" w:type="dxa"/>
          </w:tcPr>
          <w:p w14:paraId="66D22F10"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lastRenderedPageBreak/>
              <w:t>Consultation responses reviewed by:</w:t>
            </w:r>
          </w:p>
        </w:tc>
        <w:tc>
          <w:tcPr>
            <w:tcW w:w="3050" w:type="dxa"/>
          </w:tcPr>
          <w:p w14:paraId="28646995" w14:textId="77777777" w:rsidR="00CA64BF" w:rsidRDefault="00CA64BF">
            <w:pPr>
              <w:pBdr>
                <w:top w:val="nil"/>
                <w:left w:val="nil"/>
                <w:bottom w:val="nil"/>
                <w:right w:val="nil"/>
                <w:between w:val="nil"/>
              </w:pBdr>
              <w:rPr>
                <w:rFonts w:ascii="Roboto" w:eastAsia="Roboto" w:hAnsi="Roboto" w:cs="Roboto"/>
              </w:rPr>
            </w:pPr>
          </w:p>
        </w:tc>
        <w:tc>
          <w:tcPr>
            <w:tcW w:w="3925" w:type="dxa"/>
          </w:tcPr>
          <w:p w14:paraId="2F333AC4"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If your decision departs from individuals’ views, you must explain your reasons</w:t>
            </w:r>
          </w:p>
        </w:tc>
      </w:tr>
      <w:tr w:rsidR="00CA64BF" w14:paraId="341E68F4" w14:textId="77777777">
        <w:trPr>
          <w:trHeight w:val="855"/>
        </w:trPr>
        <w:tc>
          <w:tcPr>
            <w:tcW w:w="9874" w:type="dxa"/>
            <w:gridSpan w:val="3"/>
          </w:tcPr>
          <w:p w14:paraId="65922EE8"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Comments:</w:t>
            </w:r>
          </w:p>
        </w:tc>
      </w:tr>
      <w:tr w:rsidR="00CA64BF" w14:paraId="0EF95597" w14:textId="77777777">
        <w:trPr>
          <w:trHeight w:val="977"/>
        </w:trPr>
        <w:tc>
          <w:tcPr>
            <w:tcW w:w="2899" w:type="dxa"/>
          </w:tcPr>
          <w:p w14:paraId="0DAD16FC"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This DPIA will kept under review by:</w:t>
            </w:r>
          </w:p>
        </w:tc>
        <w:tc>
          <w:tcPr>
            <w:tcW w:w="3050" w:type="dxa"/>
          </w:tcPr>
          <w:p w14:paraId="445779D1" w14:textId="77777777" w:rsidR="00CA64BF" w:rsidRDefault="00CA64BF">
            <w:pPr>
              <w:pBdr>
                <w:top w:val="nil"/>
                <w:left w:val="nil"/>
                <w:bottom w:val="nil"/>
                <w:right w:val="nil"/>
                <w:between w:val="nil"/>
              </w:pBdr>
              <w:rPr>
                <w:rFonts w:ascii="Roboto" w:eastAsia="Roboto" w:hAnsi="Roboto" w:cs="Roboto"/>
              </w:rPr>
            </w:pPr>
          </w:p>
        </w:tc>
        <w:tc>
          <w:tcPr>
            <w:tcW w:w="3925" w:type="dxa"/>
          </w:tcPr>
          <w:p w14:paraId="6AE93093" w14:textId="77777777" w:rsidR="00CA64BF" w:rsidRDefault="00FA3A2B">
            <w:pPr>
              <w:pBdr>
                <w:top w:val="nil"/>
                <w:left w:val="nil"/>
                <w:bottom w:val="nil"/>
                <w:right w:val="nil"/>
                <w:between w:val="nil"/>
              </w:pBdr>
              <w:rPr>
                <w:rFonts w:ascii="Roboto" w:eastAsia="Roboto" w:hAnsi="Roboto" w:cs="Roboto"/>
              </w:rPr>
            </w:pPr>
            <w:r>
              <w:rPr>
                <w:rFonts w:ascii="Roboto" w:eastAsia="Roboto" w:hAnsi="Roboto" w:cs="Roboto"/>
              </w:rPr>
              <w:t>The DPO should also review ongoing compliance with DPIA</w:t>
            </w:r>
          </w:p>
        </w:tc>
      </w:tr>
    </w:tbl>
    <w:p w14:paraId="0E5541C6" w14:textId="77777777" w:rsidR="00CA64BF" w:rsidRDefault="00CA64BF">
      <w:pPr>
        <w:rPr>
          <w:rFonts w:ascii="Roboto" w:eastAsia="Roboto" w:hAnsi="Roboto" w:cs="Roboto"/>
        </w:rPr>
      </w:pPr>
    </w:p>
    <w:p w14:paraId="77C8FA14" w14:textId="77777777" w:rsidR="00CA64BF" w:rsidRDefault="00CA64BF">
      <w:pPr>
        <w:rPr>
          <w:rFonts w:ascii="Roboto" w:eastAsia="Roboto" w:hAnsi="Roboto" w:cs="Roboto"/>
        </w:rPr>
      </w:pPr>
    </w:p>
    <w:sectPr w:rsidR="00CA64BF">
      <w:headerReference w:type="default" r:id="rId31"/>
      <w:footerReference w:type="default" r:id="rId32"/>
      <w:headerReference w:type="first" r:id="rId33"/>
      <w:pgSz w:w="11909" w:h="16834"/>
      <w:pgMar w:top="1133" w:right="1020" w:bottom="850" w:left="10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382D" w14:textId="77777777" w:rsidR="007E10E2" w:rsidRDefault="007E10E2">
      <w:pPr>
        <w:spacing w:line="240" w:lineRule="auto"/>
      </w:pPr>
      <w:r>
        <w:separator/>
      </w:r>
    </w:p>
  </w:endnote>
  <w:endnote w:type="continuationSeparator" w:id="0">
    <w:p w14:paraId="5E274D24" w14:textId="77777777" w:rsidR="007E10E2" w:rsidRDefault="007E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Raleway">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2640" w14:textId="3D558F17" w:rsidR="00CA64BF" w:rsidRDefault="00FA3A2B">
    <w:pPr>
      <w:jc w:val="right"/>
    </w:pPr>
    <w:r>
      <w:t xml:space="preserve">Page </w:t>
    </w:r>
    <w:r>
      <w:fldChar w:fldCharType="begin"/>
    </w:r>
    <w:r>
      <w:instrText>PAGE</w:instrText>
    </w:r>
    <w:r>
      <w:fldChar w:fldCharType="separate"/>
    </w:r>
    <w:r w:rsidR="00544B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FE7A" w14:textId="77777777" w:rsidR="007E10E2" w:rsidRDefault="007E10E2">
      <w:pPr>
        <w:spacing w:line="240" w:lineRule="auto"/>
      </w:pPr>
      <w:r>
        <w:separator/>
      </w:r>
    </w:p>
  </w:footnote>
  <w:footnote w:type="continuationSeparator" w:id="0">
    <w:p w14:paraId="61778CD9" w14:textId="77777777" w:rsidR="007E10E2" w:rsidRDefault="007E10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460F" w14:textId="77777777" w:rsidR="00CA64BF" w:rsidRDefault="00CA64BF">
    <w:pPr>
      <w:jc w:val="both"/>
      <w:rPr>
        <w:rFonts w:ascii="Verdana" w:eastAsia="Verdana" w:hAnsi="Verdana" w:cs="Verdana"/>
        <w:b/>
        <w:color w:val="98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A04E" w14:textId="77777777" w:rsidR="00CA64BF" w:rsidRDefault="00FA3A2B">
    <w:pPr>
      <w:jc w:val="both"/>
      <w:rPr>
        <w:rFonts w:ascii="Raleway" w:eastAsia="Raleway" w:hAnsi="Raleway" w:cs="Raleway"/>
        <w:sz w:val="48"/>
        <w:szCs w:val="48"/>
      </w:rPr>
    </w:pPr>
    <w:r>
      <w:rPr>
        <w:rFonts w:ascii="Verdana" w:eastAsia="Verdana" w:hAnsi="Verdana" w:cs="Verdana"/>
        <w:b/>
        <w:color w:val="980000"/>
        <w:sz w:val="16"/>
        <w:szCs w:val="16"/>
      </w:rPr>
      <w:t xml:space="preserve">Please note: As the data controller, when using accuRx, it is up to your organisation to complete a DPIA. As a data processor, we cannot complete it for you. However, to be as helpful as we can, we have filled in the key parts of this DPIA </w:t>
    </w:r>
    <w:r>
      <w:rPr>
        <w:rFonts w:ascii="Verdana" w:eastAsia="Verdana" w:hAnsi="Verdana" w:cs="Verdana"/>
        <w:b/>
        <w:color w:val="980000"/>
        <w:sz w:val="16"/>
        <w:szCs w:val="16"/>
        <w:u w:val="single"/>
      </w:rPr>
      <w:t>Template</w:t>
    </w:r>
    <w:r>
      <w:rPr>
        <w:rFonts w:ascii="Verdana" w:eastAsia="Verdana" w:hAnsi="Verdana" w:cs="Verdana"/>
        <w:b/>
        <w:color w:val="98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7A2B"/>
    <w:multiLevelType w:val="multilevel"/>
    <w:tmpl w:val="30DCD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9740F"/>
    <w:multiLevelType w:val="multilevel"/>
    <w:tmpl w:val="46CC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B65CD"/>
    <w:multiLevelType w:val="multilevel"/>
    <w:tmpl w:val="8E2A7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D65998"/>
    <w:multiLevelType w:val="multilevel"/>
    <w:tmpl w:val="BA70C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75660B"/>
    <w:multiLevelType w:val="multilevel"/>
    <w:tmpl w:val="E8C8F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98735C"/>
    <w:multiLevelType w:val="multilevel"/>
    <w:tmpl w:val="B95A4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BF"/>
    <w:rsid w:val="00042C99"/>
    <w:rsid w:val="00544B7A"/>
    <w:rsid w:val="007E10E2"/>
    <w:rsid w:val="0098449C"/>
    <w:rsid w:val="00B569A7"/>
    <w:rsid w:val="00BE1B2D"/>
    <w:rsid w:val="00C56035"/>
    <w:rsid w:val="00CA64BF"/>
    <w:rsid w:val="00EC557F"/>
    <w:rsid w:val="00FA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934C"/>
  <w15:docId w15:val="{08533F09-ECD0-4693-89C6-03BFA62C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character" w:styleId="CommentReference">
    <w:name w:val="annotation reference"/>
    <w:basedOn w:val="DefaultParagraphFont"/>
    <w:uiPriority w:val="99"/>
    <w:semiHidden/>
    <w:unhideWhenUsed/>
    <w:rsid w:val="00C56035"/>
    <w:rPr>
      <w:sz w:val="16"/>
      <w:szCs w:val="16"/>
    </w:rPr>
  </w:style>
  <w:style w:type="paragraph" w:styleId="CommentText">
    <w:name w:val="annotation text"/>
    <w:basedOn w:val="Normal"/>
    <w:link w:val="CommentTextChar"/>
    <w:uiPriority w:val="99"/>
    <w:semiHidden/>
    <w:unhideWhenUsed/>
    <w:rsid w:val="00C56035"/>
    <w:pPr>
      <w:spacing w:line="240" w:lineRule="auto"/>
    </w:pPr>
    <w:rPr>
      <w:sz w:val="20"/>
      <w:szCs w:val="20"/>
    </w:rPr>
  </w:style>
  <w:style w:type="character" w:customStyle="1" w:styleId="CommentTextChar">
    <w:name w:val="Comment Text Char"/>
    <w:basedOn w:val="DefaultParagraphFont"/>
    <w:link w:val="CommentText"/>
    <w:uiPriority w:val="99"/>
    <w:semiHidden/>
    <w:rsid w:val="00C56035"/>
    <w:rPr>
      <w:sz w:val="20"/>
      <w:szCs w:val="20"/>
    </w:rPr>
  </w:style>
  <w:style w:type="paragraph" w:styleId="CommentSubject">
    <w:name w:val="annotation subject"/>
    <w:basedOn w:val="CommentText"/>
    <w:next w:val="CommentText"/>
    <w:link w:val="CommentSubjectChar"/>
    <w:uiPriority w:val="99"/>
    <w:semiHidden/>
    <w:unhideWhenUsed/>
    <w:rsid w:val="00C56035"/>
    <w:rPr>
      <w:b/>
      <w:bCs/>
    </w:rPr>
  </w:style>
  <w:style w:type="character" w:customStyle="1" w:styleId="CommentSubjectChar">
    <w:name w:val="Comment Subject Char"/>
    <w:basedOn w:val="CommentTextChar"/>
    <w:link w:val="CommentSubject"/>
    <w:uiPriority w:val="99"/>
    <w:semiHidden/>
    <w:rsid w:val="00C56035"/>
    <w:rPr>
      <w:b/>
      <w:bCs/>
      <w:sz w:val="20"/>
      <w:szCs w:val="20"/>
    </w:rPr>
  </w:style>
  <w:style w:type="table" w:styleId="TableGrid">
    <w:name w:val="Table Grid"/>
    <w:basedOn w:val="TableNormal"/>
    <w:uiPriority w:val="39"/>
    <w:rsid w:val="00EC55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B7A"/>
    <w:pPr>
      <w:tabs>
        <w:tab w:val="center" w:pos="4513"/>
        <w:tab w:val="right" w:pos="9026"/>
      </w:tabs>
      <w:spacing w:line="240" w:lineRule="auto"/>
    </w:pPr>
  </w:style>
  <w:style w:type="character" w:customStyle="1" w:styleId="HeaderChar">
    <w:name w:val="Header Char"/>
    <w:basedOn w:val="DefaultParagraphFont"/>
    <w:link w:val="Header"/>
    <w:uiPriority w:val="99"/>
    <w:rsid w:val="00544B7A"/>
  </w:style>
  <w:style w:type="paragraph" w:styleId="Footer">
    <w:name w:val="footer"/>
    <w:basedOn w:val="Normal"/>
    <w:link w:val="FooterChar"/>
    <w:uiPriority w:val="99"/>
    <w:unhideWhenUsed/>
    <w:rsid w:val="00544B7A"/>
    <w:pPr>
      <w:tabs>
        <w:tab w:val="center" w:pos="4513"/>
        <w:tab w:val="right" w:pos="9026"/>
      </w:tabs>
      <w:spacing w:line="240" w:lineRule="auto"/>
    </w:pPr>
  </w:style>
  <w:style w:type="character" w:customStyle="1" w:styleId="FooterChar">
    <w:name w:val="Footer Char"/>
    <w:basedOn w:val="DefaultParagraphFont"/>
    <w:link w:val="Footer"/>
    <w:uiPriority w:val="99"/>
    <w:rsid w:val="0054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gpitbjss.atlassian.net/wiki/spaces/CVPDR/pages/7918551342/Vaccination+and+Adverse+Reaction+Recording" TargetMode="External"/><Relationship Id="rId26" Type="http://schemas.openxmlformats.org/officeDocument/2006/relationships/hyperlink" Target="https://www.notion.so/accurx/PUBLIC-Product-improvements-accuBook-vaccine-booking-b53149e6998046ca919e11c2aa01c7cd" TargetMode="External"/><Relationship Id="rId3" Type="http://schemas.openxmlformats.org/officeDocument/2006/relationships/styles" Target="styles.xml"/><Relationship Id="rId21"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presentation/d/1UNZAuK8e6TXiLOJLPGC0Kvec37MFYewWdxCNHyzrmIk/edit?usp=sharing" TargetMode="External"/><Relationship Id="rId17" Type="http://schemas.openxmlformats.org/officeDocument/2006/relationships/image" Target="media/image3.png"/><Relationship Id="rId25" Type="http://schemas.openxmlformats.org/officeDocument/2006/relationships/hyperlink" Target="https://www.england.nhs.uk/contact-us/privacy-notice/national-flu-vaccination-programm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ngland.nhs.uk/contact-us/privacy-notice/national-flu-vaccination-programme/" TargetMode="External"/><Relationship Id="rId20" Type="http://schemas.openxmlformats.org/officeDocument/2006/relationships/hyperlink" Target="http://accurx.com/data-processing-agreement" TargetMode="External"/><Relationship Id="rId29" Type="http://schemas.openxmlformats.org/officeDocument/2006/relationships/hyperlink" Target="https://docs.microsoft.com/en-gb/azure/storage/common/storage-service-encryp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advice-and-support/ethics/confidentiality-and-health-records/gdpr-privacy-notices-for-gp-practices" TargetMode="External"/><Relationship Id="rId24" Type="http://schemas.openxmlformats.org/officeDocument/2006/relationships/hyperlink" Target="https://docs.google.com/document/d/1BYsv5iadneb6fJih_uAr1J26lSv7x4X-zVfCGA0nTZ4/edit?usp=sharin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jO2zxBkzkWv0K4A4KP9uZ3YZHDRUfTSZ/view?usp=sharing" TargetMode="External"/><Relationship Id="rId23" Type="http://schemas.openxmlformats.org/officeDocument/2006/relationships/hyperlink" Target="https://docs.microsoft.com/en-gb/azure/storage/common/storage-service-encryption" TargetMode="External"/><Relationship Id="rId28" Type="http://schemas.openxmlformats.org/officeDocument/2006/relationships/hyperlink" Target="https://digital.nhs.uk/services/gp-it-futures-systems/assured-appointment-management-solutions-for-primary-care-networks-coronavirus-covid-19-vaccination" TargetMode="External"/><Relationship Id="rId10" Type="http://schemas.openxmlformats.org/officeDocument/2006/relationships/hyperlink" Target="https://www.accurx.com/security-and-privacy/for-patients" TargetMode="Externa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newsroom/document.cfm?doc_id=47711" TargetMode="External"/><Relationship Id="rId14" Type="http://schemas.openxmlformats.org/officeDocument/2006/relationships/hyperlink" Target="https://digital.nhs.uk/services/national-back-office-for-the-personal-demographics-service/management-of-nhs-numbers-and-pds-records" TargetMode="External"/><Relationship Id="rId22"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27" Type="http://schemas.openxmlformats.org/officeDocument/2006/relationships/hyperlink" Target="https://gpitbjss.atlassian.net/wiki/spaces/CVPDR/overview?homepageId=2717090030" TargetMode="External"/><Relationship Id="rId30" Type="http://schemas.openxmlformats.org/officeDocument/2006/relationships/hyperlink" Target="https://www.accurx.com/security-and-privacy/our-resources"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260DD-836A-46B7-8A82-7373ABD3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4279</Words>
  <Characters>24392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Justin Cankalis</cp:lastModifiedBy>
  <cp:revision>2</cp:revision>
  <dcterms:created xsi:type="dcterms:W3CDTF">2021-04-06T10:26:00Z</dcterms:created>
  <dcterms:modified xsi:type="dcterms:W3CDTF">2021-04-06T10:26:00Z</dcterms:modified>
</cp:coreProperties>
</file>